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sz w:val="32"/>
          <w:szCs w:val="32"/>
        </w:rPr>
      </w:pPr>
      <w:r>
        <w:rPr>
          <w:rFonts w:hint="eastAsia" w:ascii="宋体" w:hAnsi="宋体"/>
          <w:b/>
          <w:sz w:val="32"/>
          <w:szCs w:val="32"/>
        </w:rPr>
        <w:t>文学与传媒学院</w:t>
      </w:r>
      <w:r>
        <w:rPr>
          <w:rFonts w:hint="eastAsia" w:ascii="宋体" w:hAnsi="宋体"/>
          <w:b/>
          <w:sz w:val="32"/>
          <w:szCs w:val="32"/>
          <w:lang w:val="en-US" w:eastAsia="zh-CN"/>
        </w:rPr>
        <w:t>2021-2022学年</w:t>
      </w:r>
      <w:r>
        <w:rPr>
          <w:rFonts w:hint="eastAsia" w:ascii="宋体" w:hAnsi="宋体"/>
          <w:b/>
          <w:sz w:val="32"/>
          <w:szCs w:val="32"/>
        </w:rPr>
        <w:t>学生综合素质测评实施细则</w:t>
      </w:r>
    </w:p>
    <w:p>
      <w:pPr>
        <w:spacing w:line="400" w:lineRule="exact"/>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根据《</w:t>
      </w:r>
      <w:r>
        <w:rPr>
          <w:rFonts w:hint="eastAsia" w:ascii="宋体" w:hAnsi="宋体"/>
          <w:sz w:val="24"/>
          <w:lang w:eastAsia="zh-CN"/>
        </w:rPr>
        <w:t>广州</w:t>
      </w:r>
      <w:r>
        <w:rPr>
          <w:rFonts w:hint="eastAsia" w:ascii="宋体" w:hAnsi="宋体"/>
          <w:sz w:val="24"/>
        </w:rPr>
        <w:t>南方学院学生综合素质测评实施规定（试行）》，结合我院实际情况，特制定本细则（注：本细则所涵括的院系级加分项，如活动、会议、荣誉称号、实践服务非特殊注明“其他院系”，均默认为文学与传媒学院）。综合素质测评包括基础性素质、发展性素质与学业能力三个方面，其中基础性素质与发展性素质测评共占40%，学业测评占60%，计算公式如下：</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bCs/>
          <w:sz w:val="21"/>
          <w:szCs w:val="21"/>
        </w:rPr>
      </w:pPr>
      <w:r>
        <w:rPr>
          <w:rFonts w:hint="eastAsia" w:ascii="宋体" w:hAnsi="宋体"/>
          <w:b/>
          <w:bCs/>
          <w:sz w:val="21"/>
          <w:szCs w:val="21"/>
        </w:rPr>
        <w:t>综合素质测评分=（基础性素质分+发展性素质分）×40%+学业成绩分×60%</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bCs/>
          <w:sz w:val="24"/>
        </w:rPr>
      </w:pPr>
      <w:r>
        <w:rPr>
          <w:rFonts w:hint="eastAsia" w:ascii="宋体" w:hAnsi="宋体"/>
          <w:b/>
          <w:bCs/>
          <w:sz w:val="21"/>
          <w:szCs w:val="21"/>
        </w:rPr>
        <w:t>基础性素质分=德育×40%+（美育+体育+劳动）×40%+个人综合素养×20%</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rPr>
      </w:pPr>
      <w:r>
        <w:rPr>
          <w:rFonts w:hint="eastAsia" w:ascii="宋体" w:hAnsi="宋体"/>
          <w:b/>
          <w:sz w:val="24"/>
        </w:rPr>
        <w:t>一、基础素质测评（</w:t>
      </w:r>
      <w:r>
        <w:rPr>
          <w:rFonts w:hint="eastAsia" w:ascii="宋体" w:hAnsi="宋体"/>
          <w:b/>
          <w:sz w:val="24"/>
          <w:lang w:val="en-US" w:eastAsia="zh-CN"/>
        </w:rPr>
        <w:t>70</w:t>
      </w:r>
      <w:r>
        <w:rPr>
          <w:rFonts w:hint="eastAsia" w:ascii="宋体" w:hAnsi="宋体"/>
          <w:b/>
          <w:sz w:val="24"/>
        </w:rPr>
        <w:t>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16"/>
        <w:gridCol w:w="745"/>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3" w:type="dxa"/>
            <w:vAlign w:val="center"/>
          </w:tcPr>
          <w:p>
            <w:pPr>
              <w:jc w:val="center"/>
              <w:rPr>
                <w:rFonts w:hint="eastAsia" w:eastAsiaTheme="minorEastAsia"/>
                <w:b/>
                <w:bCs/>
                <w:vertAlign w:val="baseline"/>
                <w:lang w:eastAsia="zh-CN"/>
              </w:rPr>
            </w:pPr>
            <w:r>
              <w:rPr>
                <w:rFonts w:hint="eastAsia"/>
                <w:b/>
                <w:bCs/>
                <w:sz w:val="24"/>
                <w:szCs w:val="24"/>
                <w:vertAlign w:val="baseline"/>
                <w:lang w:eastAsia="zh-CN"/>
              </w:rPr>
              <w:t>一级指标</w:t>
            </w:r>
          </w:p>
        </w:tc>
        <w:tc>
          <w:tcPr>
            <w:tcW w:w="716" w:type="dxa"/>
            <w:vAlign w:val="center"/>
          </w:tcPr>
          <w:p>
            <w:pPr>
              <w:jc w:val="center"/>
              <w:rPr>
                <w:rFonts w:hint="eastAsia" w:eastAsiaTheme="minorEastAsia"/>
                <w:b/>
                <w:bCs/>
                <w:vertAlign w:val="baseline"/>
                <w:lang w:eastAsia="zh-CN"/>
              </w:rPr>
            </w:pPr>
            <w:r>
              <w:rPr>
                <w:rFonts w:hint="eastAsia"/>
                <w:b/>
                <w:bCs/>
                <w:vertAlign w:val="baseline"/>
                <w:lang w:eastAsia="zh-CN"/>
              </w:rPr>
              <w:t>二级指标</w:t>
            </w:r>
          </w:p>
        </w:tc>
        <w:tc>
          <w:tcPr>
            <w:tcW w:w="745" w:type="dxa"/>
            <w:vAlign w:val="center"/>
          </w:tcPr>
          <w:p>
            <w:pPr>
              <w:jc w:val="center"/>
              <w:rPr>
                <w:rFonts w:hint="eastAsia" w:eastAsiaTheme="minorEastAsia"/>
                <w:b/>
                <w:bCs/>
                <w:vertAlign w:val="baseline"/>
                <w:lang w:eastAsia="zh-CN"/>
              </w:rPr>
            </w:pPr>
            <w:r>
              <w:rPr>
                <w:rFonts w:hint="eastAsia"/>
                <w:b/>
                <w:bCs/>
                <w:vertAlign w:val="baseline"/>
                <w:lang w:eastAsia="zh-CN"/>
              </w:rPr>
              <w:t>三级指标</w:t>
            </w:r>
          </w:p>
        </w:tc>
        <w:tc>
          <w:tcPr>
            <w:tcW w:w="6308" w:type="dxa"/>
            <w:vAlign w:val="center"/>
          </w:tcPr>
          <w:p>
            <w:pPr>
              <w:jc w:val="center"/>
              <w:rPr>
                <w:rFonts w:hint="eastAsia" w:eastAsiaTheme="minorEastAsia"/>
                <w:b/>
                <w:bCs/>
                <w:vertAlign w:val="baseline"/>
                <w:lang w:eastAsia="zh-CN"/>
              </w:rPr>
            </w:pPr>
            <w:r>
              <w:rPr>
                <w:rFonts w:hint="eastAsia"/>
                <w:b/>
                <w:bCs/>
                <w:vertAlign w:val="baseline"/>
                <w:lang w:eastAsia="zh-CN"/>
              </w:rPr>
              <w:t>参照点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德育</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思想道德素养（</w:t>
            </w:r>
            <w:r>
              <w:rPr>
                <w:rFonts w:hint="eastAsia"/>
                <w:vertAlign w:val="baseline"/>
                <w:lang w:val="en-US" w:eastAsia="zh-CN"/>
              </w:rPr>
              <w:t>60分）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政治素质（</w:t>
            </w:r>
            <w:r>
              <w:rPr>
                <w:rFonts w:hint="eastAsia"/>
                <w:vertAlign w:val="baseline"/>
                <w:lang w:val="en-US" w:eastAsia="zh-CN"/>
              </w:rPr>
              <w:t>20分）</w:t>
            </w:r>
          </w:p>
        </w:tc>
        <w:tc>
          <w:tcPr>
            <w:tcW w:w="6308" w:type="dxa"/>
            <w:vAlign w:val="center"/>
          </w:tcPr>
          <w:p>
            <w:pPr>
              <w:jc w:val="left"/>
              <w:rPr>
                <w:vertAlign w:val="baseline"/>
              </w:rPr>
            </w:pPr>
            <w:r>
              <w:rPr>
                <w:rFonts w:hint="eastAsia"/>
                <w:vertAlign w:val="baseline"/>
              </w:rPr>
              <w:t>坚决拥护党的领导，坚持社会主义道路，热爱祖国与人民，发奋学习，努力实践，以报效国家为己任。</w:t>
            </w:r>
            <w:r>
              <w:rPr>
                <w:rFonts w:hint="eastAsia"/>
                <w:b/>
                <w:bCs/>
                <w:sz w:val="20"/>
                <w:szCs w:val="20"/>
              </w:rPr>
              <w:t>【</w:t>
            </w:r>
            <w:r>
              <w:rPr>
                <w:rFonts w:hint="eastAsia"/>
                <w:b/>
                <w:bCs/>
                <w:vertAlign w:val="baseline"/>
                <w:lang w:val="en-US" w:eastAsia="zh-CN"/>
              </w:rPr>
              <w:t>6分</w:t>
            </w:r>
            <w:r>
              <w:rPr>
                <w:rFonts w:hint="eastAsia"/>
                <w:b/>
                <w:bCs/>
                <w:sz w:val="20"/>
                <w:szCs w:val="20"/>
              </w:rPr>
              <w:t>】【党员</w:t>
            </w:r>
            <w:r>
              <w:rPr>
                <w:rFonts w:hint="eastAsia"/>
                <w:b/>
                <w:bCs/>
                <w:sz w:val="20"/>
                <w:szCs w:val="20"/>
                <w:lang w:val="en-US" w:eastAsia="zh-CN"/>
              </w:rPr>
              <w:t>6</w:t>
            </w:r>
            <w:r>
              <w:rPr>
                <w:rFonts w:hint="eastAsia"/>
                <w:b/>
                <w:bCs/>
                <w:sz w:val="20"/>
                <w:szCs w:val="20"/>
              </w:rPr>
              <w:t>分、积极分子</w:t>
            </w:r>
            <w:r>
              <w:rPr>
                <w:rFonts w:hint="eastAsia"/>
                <w:b/>
                <w:bCs/>
                <w:sz w:val="20"/>
                <w:szCs w:val="20"/>
                <w:lang w:val="en-US" w:eastAsia="zh-CN"/>
              </w:rPr>
              <w:t>4</w:t>
            </w:r>
            <w:r>
              <w:rPr>
                <w:rFonts w:hint="eastAsia"/>
                <w:b/>
                <w:bCs/>
                <w:sz w:val="20"/>
                <w:szCs w:val="20"/>
              </w:rPr>
              <w:t>5分，其他</w:t>
            </w:r>
            <w:r>
              <w:rPr>
                <w:rFonts w:hint="eastAsia"/>
                <w:b/>
                <w:bCs/>
                <w:sz w:val="20"/>
                <w:szCs w:val="20"/>
                <w:lang w:val="en-US" w:eastAsia="zh-CN"/>
              </w:rPr>
              <w:t>2</w:t>
            </w:r>
            <w:r>
              <w:rPr>
                <w:rFonts w:hint="eastAsia"/>
                <w:b/>
                <w:bCs/>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rFonts w:hint="eastAsia" w:eastAsiaTheme="minorEastAsia"/>
                <w:vertAlign w:val="baseline"/>
                <w:lang w:val="en-US" w:eastAsia="zh-CN"/>
              </w:rPr>
            </w:pPr>
            <w:r>
              <w:rPr>
                <w:rFonts w:hint="eastAsia"/>
                <w:vertAlign w:val="baseline"/>
              </w:rPr>
              <w:t>能够正确处理个人、集体和国家利益之间的关系，能够在错综复杂的政治环境中保持清醒的政治头脑。</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正确认识社会发展规律，关心国家前途和民族命运，确立在中国共产党领导下走中国特色社会主义道路，实现中华民族伟大复兴的共同理想和坚定信念，参加马克思主义理论研习及“大德育”实践，参加党校、团校培训及党团实践活动，参加党史学习，青年大学习等理论学习。</w:t>
            </w:r>
            <w:r>
              <w:rPr>
                <w:rFonts w:hint="eastAsia"/>
                <w:b/>
                <w:bCs/>
                <w:sz w:val="20"/>
                <w:szCs w:val="20"/>
              </w:rPr>
              <w:t>【</w:t>
            </w:r>
            <w:r>
              <w:rPr>
                <w:rFonts w:hint="eastAsia"/>
                <w:b/>
                <w:bCs/>
                <w:vertAlign w:val="baseline"/>
                <w:lang w:val="en-US" w:eastAsia="zh-CN"/>
              </w:rPr>
              <w:t>8分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3" w:type="dxa"/>
            <w:vMerge w:val="continue"/>
            <w:vAlign w:val="center"/>
          </w:tcPr>
          <w:p>
            <w:pPr>
              <w:jc w:val="center"/>
              <w:rPr>
                <w:vertAlign w:val="baseline"/>
              </w:rPr>
            </w:pPr>
          </w:p>
        </w:tc>
        <w:tc>
          <w:tcPr>
            <w:tcW w:w="716" w:type="dxa"/>
            <w:vMerge w:val="continue"/>
            <w:vAlign w:val="center"/>
          </w:tcPr>
          <w:p>
            <w:pPr>
              <w:jc w:val="center"/>
              <w:rPr>
                <w:rFonts w:hint="default" w:eastAsiaTheme="minorEastAsia"/>
                <w:vertAlign w:val="baseline"/>
                <w:lang w:val="en-US" w:eastAsia="zh-CN"/>
              </w:rPr>
            </w:pPr>
          </w:p>
        </w:tc>
        <w:tc>
          <w:tcPr>
            <w:tcW w:w="745" w:type="dxa"/>
            <w:vMerge w:val="restart"/>
            <w:vAlign w:val="center"/>
          </w:tcPr>
          <w:p>
            <w:pPr>
              <w:jc w:val="center"/>
              <w:rPr>
                <w:vertAlign w:val="baseline"/>
              </w:rPr>
            </w:pPr>
            <w:r>
              <w:rPr>
                <w:rFonts w:hint="eastAsia"/>
                <w:vertAlign w:val="baseline"/>
                <w:lang w:eastAsia="zh-CN"/>
              </w:rPr>
              <w:t>思想素质（</w:t>
            </w:r>
            <w:r>
              <w:rPr>
                <w:rFonts w:hint="eastAsia"/>
                <w:vertAlign w:val="baseline"/>
                <w:lang w:val="en-US" w:eastAsia="zh-CN"/>
              </w:rPr>
              <w:t>20分</w:t>
            </w:r>
          </w:p>
        </w:tc>
        <w:tc>
          <w:tcPr>
            <w:tcW w:w="6308" w:type="dxa"/>
            <w:vAlign w:val="center"/>
          </w:tcPr>
          <w:p>
            <w:pPr>
              <w:jc w:val="left"/>
              <w:rPr>
                <w:vertAlign w:val="baseline"/>
              </w:rPr>
            </w:pPr>
            <w:r>
              <w:rPr>
                <w:rFonts w:hint="eastAsia"/>
                <w:vertAlign w:val="baseline"/>
              </w:rPr>
              <w:t>有正确的世界观、人生观、价值观，能够掌握马克思主义认识世界和改造世界的方法论</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具有社会责任感，关心国家，关注社会，关怀民生，立足现实，拼搏进取，勇于担当；积极参加志愿服务等有意义的活动，参加学校志愿者社团，参加各类党、团、思政、通识等大德育类相关专项比赛。</w:t>
            </w:r>
            <w:r>
              <w:rPr>
                <w:rFonts w:hint="eastAsia"/>
                <w:b/>
                <w:bCs/>
                <w:sz w:val="20"/>
                <w:szCs w:val="20"/>
              </w:rPr>
              <w:t>【</w:t>
            </w:r>
            <w:r>
              <w:rPr>
                <w:rFonts w:hint="eastAsia"/>
                <w:b/>
                <w:bCs/>
                <w:vertAlign w:val="baseline"/>
                <w:lang w:val="en-US" w:eastAsia="zh-CN"/>
              </w:rPr>
              <w:t>8分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严于律己，助人为乐，坚持公平与正义，在批判中守护传统，在开拓进取中弘扬精神文明，在自强不息中见贤思齐。</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道德素质（</w:t>
            </w:r>
            <w:r>
              <w:rPr>
                <w:rFonts w:hint="eastAsia"/>
                <w:vertAlign w:val="baseline"/>
                <w:lang w:val="en-US" w:eastAsia="zh-CN"/>
              </w:rPr>
              <w:t>20分）</w:t>
            </w:r>
          </w:p>
        </w:tc>
        <w:tc>
          <w:tcPr>
            <w:tcW w:w="6308" w:type="dxa"/>
            <w:vAlign w:val="center"/>
          </w:tcPr>
          <w:p>
            <w:pPr>
              <w:jc w:val="left"/>
              <w:rPr>
                <w:vertAlign w:val="baseline"/>
              </w:rPr>
            </w:pPr>
            <w:r>
              <w:rPr>
                <w:rFonts w:hint="eastAsia"/>
                <w:vertAlign w:val="baseline"/>
              </w:rPr>
              <w:t>拥有良好的职业道德、社会公德与家庭美德，继承并发扬中华民族的优良传统，参加各类社会服务如志愿公益服务，参加学校“传家风·树学风·扬国风”教育及相关活动，参加“三下乡”社会实践等活动。</w:t>
            </w:r>
            <w:r>
              <w:rPr>
                <w:rFonts w:hint="eastAsia"/>
                <w:b/>
                <w:bCs/>
                <w:sz w:val="20"/>
                <w:szCs w:val="20"/>
              </w:rPr>
              <w:t>【</w:t>
            </w:r>
            <w:r>
              <w:rPr>
                <w:rFonts w:hint="eastAsia"/>
                <w:b/>
                <w:bCs/>
                <w:vertAlign w:val="baseline"/>
                <w:lang w:val="en-US" w:eastAsia="zh-CN"/>
              </w:rPr>
              <w:t>8分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诚实守信，勤劳节俭，正直勇敢，自尊自爱，明辨善恶，敬业奉献，遵守网络道德规范，抵制黄赌毒与假黑诈。</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尊敬师长，关心同学，言谈得体，举止端庄；知荣辱，讲正气，懂礼节，识进退；在公共场合能仪表整洁，落落大方，动静合宜。</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53" w:type="dxa"/>
            <w:vMerge w:val="continue"/>
            <w:vAlign w:val="center"/>
          </w:tcPr>
          <w:p>
            <w:pPr>
              <w:jc w:val="center"/>
              <w:rPr>
                <w:vertAlign w:val="baseline"/>
              </w:rPr>
            </w:pP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组织法纪素养（</w:t>
            </w:r>
            <w:r>
              <w:rPr>
                <w:rFonts w:hint="eastAsia"/>
                <w:vertAlign w:val="baseline"/>
                <w:lang w:val="en-US" w:eastAsia="zh-CN"/>
              </w:rPr>
              <w:t>40分）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组织素质（</w:t>
            </w:r>
            <w:r>
              <w:rPr>
                <w:rFonts w:hint="eastAsia"/>
                <w:vertAlign w:val="baseline"/>
                <w:lang w:val="en-US" w:eastAsia="zh-CN"/>
              </w:rPr>
              <w:t>20分）</w:t>
            </w:r>
          </w:p>
        </w:tc>
        <w:tc>
          <w:tcPr>
            <w:tcW w:w="6308" w:type="dxa"/>
            <w:vAlign w:val="center"/>
          </w:tcPr>
          <w:p>
            <w:pPr>
              <w:jc w:val="left"/>
              <w:rPr>
                <w:vertAlign w:val="baseline"/>
              </w:rPr>
            </w:pPr>
            <w:r>
              <w:rPr>
                <w:rFonts w:hint="eastAsia"/>
                <w:vertAlign w:val="baseline"/>
              </w:rPr>
              <w:t>富有集体主义精神，对学习生活的集体有认同感、荣誉感和归属感，尊重自己与他人，以集体利益为重。</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关心他人和集体，团结互助，积极参加学校、院系以及班级组织的各项活动，积极发挥个人在集体中的建设性作用。</w:t>
            </w:r>
            <w:r>
              <w:rPr>
                <w:rFonts w:hint="eastAsia"/>
                <w:b/>
                <w:bCs/>
                <w:sz w:val="20"/>
                <w:szCs w:val="20"/>
              </w:rPr>
              <w:t>【</w:t>
            </w:r>
            <w:r>
              <w:rPr>
                <w:rFonts w:hint="eastAsia"/>
                <w:b/>
                <w:bCs/>
                <w:vertAlign w:val="baseline"/>
                <w:lang w:val="en-US" w:eastAsia="zh-CN"/>
              </w:rPr>
              <w:t>8分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具有团队协作精神，掌握沟通与合作的技能技巧，懂得互相帮助，共同进步。</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法纪素质（</w:t>
            </w:r>
            <w:r>
              <w:rPr>
                <w:rFonts w:hint="eastAsia"/>
                <w:vertAlign w:val="baseline"/>
                <w:lang w:val="en-US" w:eastAsia="zh-CN"/>
              </w:rPr>
              <w:t>20分</w:t>
            </w:r>
          </w:p>
        </w:tc>
        <w:tc>
          <w:tcPr>
            <w:tcW w:w="6308" w:type="dxa"/>
            <w:vAlign w:val="center"/>
          </w:tcPr>
          <w:p>
            <w:pPr>
              <w:jc w:val="left"/>
              <w:rPr>
                <w:rFonts w:hint="eastAsia" w:eastAsiaTheme="minorEastAsia"/>
                <w:vertAlign w:val="baseline"/>
                <w:lang w:eastAsia="zh-CN"/>
              </w:rPr>
            </w:pPr>
            <w:r>
              <w:rPr>
                <w:rFonts w:hint="eastAsia"/>
                <w:vertAlign w:val="baseline"/>
              </w:rPr>
              <w:t>学法、懂法，认真学习以宪法为核心的一系列法律法规，熟知校纪校规</w:t>
            </w:r>
            <w:r>
              <w:rPr>
                <w:rFonts w:hint="eastAsia"/>
                <w:vertAlign w:val="baseline"/>
                <w:lang w:eastAsia="zh-CN"/>
              </w:rPr>
              <w:t>。</w:t>
            </w:r>
            <w:r>
              <w:rPr>
                <w:rFonts w:hint="eastAsia"/>
                <w:b/>
                <w:bCs/>
                <w:sz w:val="20"/>
                <w:szCs w:val="20"/>
              </w:rPr>
              <w:t>【</w:t>
            </w:r>
            <w:r>
              <w:rPr>
                <w:rFonts w:hint="eastAsia"/>
                <w:b/>
                <w:bCs/>
                <w:vertAlign w:val="baseline"/>
                <w:lang w:val="en-US" w:eastAsia="zh-CN"/>
              </w:rPr>
              <w:t>8分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守法、护法，积极参与法律实践；宣传社会主义法治观念，尊重他人合法权益，自觉维护法律权威，遵守校规校纪。</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用法，培养社会主义法律思维方式，学会运用法律（法规）方法思考、分析和解决学习和生活中的问题。</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jc w:val="center"/>
              <w:rPr>
                <w:rFonts w:hint="default" w:eastAsiaTheme="minorEastAsia"/>
                <w:vertAlign w:val="baseline"/>
                <w:lang w:val="en-US" w:eastAsia="zh-CN"/>
              </w:rPr>
            </w:pPr>
            <w:r>
              <w:rPr>
                <w:rFonts w:hint="eastAsia"/>
                <w:vertAlign w:val="baseline"/>
                <w:lang w:eastAsia="zh-CN"/>
              </w:rPr>
              <w:t>美育</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审美与艺术表现素养（</w:t>
            </w:r>
            <w:r>
              <w:rPr>
                <w:rFonts w:hint="eastAsia"/>
                <w:vertAlign w:val="baseline"/>
                <w:lang w:val="en-US" w:eastAsia="zh-CN"/>
              </w:rPr>
              <w:t>40分）</w:t>
            </w: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审美素养（</w:t>
            </w:r>
            <w:r>
              <w:rPr>
                <w:rFonts w:hint="eastAsia"/>
                <w:vertAlign w:val="baseline"/>
                <w:lang w:val="en-US" w:eastAsia="zh-CN"/>
              </w:rPr>
              <w:t>5分）</w:t>
            </w:r>
          </w:p>
        </w:tc>
        <w:tc>
          <w:tcPr>
            <w:tcW w:w="6308" w:type="dxa"/>
            <w:vAlign w:val="center"/>
          </w:tcPr>
          <w:p>
            <w:pPr>
              <w:jc w:val="left"/>
              <w:rPr>
                <w:vertAlign w:val="baseline"/>
              </w:rPr>
            </w:pPr>
            <w:r>
              <w:rPr>
                <w:rFonts w:hint="eastAsia"/>
                <w:vertAlign w:val="baseline"/>
              </w:rPr>
              <w:t>能在日常生活和大自然中发现美、欣赏美、珍惜美，具有高尚的审美情趣，做到心灵美、语言美、行为美、仪表美。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美育锻炼（</w:t>
            </w:r>
            <w:r>
              <w:rPr>
                <w:rFonts w:hint="eastAsia"/>
                <w:vertAlign w:val="baseline"/>
                <w:lang w:val="en-US" w:eastAsia="zh-CN"/>
              </w:rPr>
              <w:t>15分）</w:t>
            </w:r>
          </w:p>
        </w:tc>
        <w:tc>
          <w:tcPr>
            <w:tcW w:w="6308" w:type="dxa"/>
            <w:vAlign w:val="center"/>
          </w:tcPr>
          <w:p>
            <w:pPr>
              <w:jc w:val="left"/>
              <w:rPr>
                <w:vertAlign w:val="baseline"/>
              </w:rPr>
            </w:pPr>
            <w:r>
              <w:rPr>
                <w:rFonts w:hint="eastAsia"/>
                <w:vertAlign w:val="baseline"/>
              </w:rPr>
              <w:t>积极参加各类美育讲座及文艺活动，有一定的艺术表现能力，积极参加校内各类具有美育功能社团。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美誉赛事（</w:t>
            </w:r>
            <w:r>
              <w:rPr>
                <w:rFonts w:hint="eastAsia"/>
                <w:vertAlign w:val="baseline"/>
                <w:lang w:val="en-US" w:eastAsia="zh-CN"/>
              </w:rPr>
              <w:t>20分）</w:t>
            </w:r>
          </w:p>
        </w:tc>
        <w:tc>
          <w:tcPr>
            <w:tcW w:w="6308" w:type="dxa"/>
            <w:vAlign w:val="center"/>
          </w:tcPr>
          <w:p>
            <w:pPr>
              <w:jc w:val="left"/>
              <w:rPr>
                <w:vertAlign w:val="baseline"/>
              </w:rPr>
            </w:pPr>
            <w:r>
              <w:rPr>
                <w:rFonts w:hint="eastAsia"/>
                <w:vertAlign w:val="baseline"/>
              </w:rPr>
              <w:t>参加有关设计、美术、器乐、舞蹈、声乐等各类艺术比赛或创作项目并获奖。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体育</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身心健康素养（</w:t>
            </w:r>
            <w:r>
              <w:rPr>
                <w:rFonts w:hint="eastAsia"/>
                <w:vertAlign w:val="baseline"/>
                <w:lang w:val="en-US" w:eastAsia="zh-CN"/>
              </w:rPr>
              <w:t>30分）</w:t>
            </w: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身体素质（</w:t>
            </w:r>
            <w:r>
              <w:rPr>
                <w:rFonts w:hint="eastAsia"/>
                <w:vertAlign w:val="baseline"/>
                <w:lang w:val="en-US" w:eastAsia="zh-CN"/>
              </w:rPr>
              <w:t>5分）</w:t>
            </w:r>
          </w:p>
        </w:tc>
        <w:tc>
          <w:tcPr>
            <w:tcW w:w="6308" w:type="dxa"/>
            <w:vAlign w:val="center"/>
          </w:tcPr>
          <w:p>
            <w:pPr>
              <w:jc w:val="left"/>
              <w:rPr>
                <w:vertAlign w:val="baseline"/>
              </w:rPr>
            </w:pPr>
            <w:r>
              <w:rPr>
                <w:rFonts w:hint="eastAsia"/>
                <w:vertAlign w:val="baseline"/>
              </w:rPr>
              <w:t>具有有良好的身体素质，认真上好体育课，掌握健康常识，运动的知识和技能。学会科学锻炼身体的方法，并将运动贯穿于日后的学习、生活与工作中。参加《国家学生体质健康标准》测试成绩不及格或未参加者则该项记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体育锻炼（</w:t>
            </w:r>
            <w:r>
              <w:rPr>
                <w:rFonts w:hint="eastAsia"/>
                <w:vertAlign w:val="baseline"/>
                <w:lang w:val="en-US" w:eastAsia="zh-CN"/>
              </w:rPr>
              <w:t>10分）</w:t>
            </w:r>
          </w:p>
        </w:tc>
        <w:tc>
          <w:tcPr>
            <w:tcW w:w="6308" w:type="dxa"/>
            <w:vAlign w:val="center"/>
          </w:tcPr>
          <w:p>
            <w:pPr>
              <w:jc w:val="left"/>
              <w:rPr>
                <w:vertAlign w:val="baseline"/>
              </w:rPr>
            </w:pPr>
            <w:r>
              <w:rPr>
                <w:rFonts w:hint="eastAsia"/>
                <w:vertAlign w:val="baseline"/>
              </w:rPr>
              <w:t>积极参加体育锻炼，参加“朝阳计划”晨跑活动及体育教学中心组织的50公里/20公里跑步。每天锻炼一小时，积极参加体育俱乐部、体育社团。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体育参赛活动（</w:t>
            </w:r>
            <w:r>
              <w:rPr>
                <w:rFonts w:hint="eastAsia"/>
                <w:vertAlign w:val="baseline"/>
                <w:lang w:val="en-US" w:eastAsia="zh-CN"/>
              </w:rPr>
              <w:t>5分）</w:t>
            </w:r>
          </w:p>
        </w:tc>
        <w:tc>
          <w:tcPr>
            <w:tcW w:w="6308" w:type="dxa"/>
            <w:vAlign w:val="center"/>
          </w:tcPr>
          <w:p>
            <w:pPr>
              <w:jc w:val="left"/>
              <w:rPr>
                <w:vertAlign w:val="baseline"/>
              </w:rPr>
            </w:pPr>
            <w:r>
              <w:rPr>
                <w:rFonts w:hint="eastAsia"/>
                <w:vertAlign w:val="baseline"/>
              </w:rPr>
              <w:t>参加体育类有关比赛项目并获奖。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劳动</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劳动心态与技能（</w:t>
            </w:r>
            <w:r>
              <w:rPr>
                <w:rFonts w:hint="eastAsia"/>
                <w:vertAlign w:val="baseline"/>
                <w:lang w:val="en-US" w:eastAsia="zh-CN"/>
              </w:rPr>
              <w:t>30分）</w:t>
            </w: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劳动素养（</w:t>
            </w:r>
            <w:r>
              <w:rPr>
                <w:rFonts w:hint="eastAsia"/>
                <w:vertAlign w:val="baseline"/>
                <w:lang w:val="en-US" w:eastAsia="zh-CN"/>
              </w:rPr>
              <w:t>5分）</w:t>
            </w:r>
          </w:p>
        </w:tc>
        <w:tc>
          <w:tcPr>
            <w:tcW w:w="6308" w:type="dxa"/>
            <w:vAlign w:val="center"/>
          </w:tcPr>
          <w:p>
            <w:pPr>
              <w:jc w:val="left"/>
              <w:rPr>
                <w:vertAlign w:val="baseline"/>
              </w:rPr>
            </w:pPr>
            <w:r>
              <w:rPr>
                <w:rFonts w:hint="eastAsia"/>
                <w:vertAlign w:val="baseline"/>
              </w:rPr>
              <w:t>树立热爱劳动的思想，具有自立、自强、自尊、自爱精神。能进行自我服务劳动，保持宿舍以及个人卫生。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劳动锻炼（</w:t>
            </w:r>
            <w:r>
              <w:rPr>
                <w:rFonts w:hint="eastAsia"/>
                <w:vertAlign w:val="baseline"/>
                <w:lang w:val="en-US" w:eastAsia="zh-CN"/>
              </w:rPr>
              <w:t>10分）</w:t>
            </w:r>
          </w:p>
        </w:tc>
        <w:tc>
          <w:tcPr>
            <w:tcW w:w="6308" w:type="dxa"/>
            <w:vAlign w:val="center"/>
          </w:tcPr>
          <w:p>
            <w:pPr>
              <w:jc w:val="left"/>
              <w:rPr>
                <w:vertAlign w:val="baseline"/>
              </w:rPr>
            </w:pPr>
            <w:r>
              <w:rPr>
                <w:rFonts w:hint="eastAsia"/>
                <w:vertAlign w:val="baseline"/>
              </w:rPr>
              <w:t>积极参加各种爱国卫生运动、劳动锻炼，包括宿舍、校园公区等清洁卫生，以及一年级学工部组织的劳动活动。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劳动比赛（</w:t>
            </w:r>
            <w:r>
              <w:rPr>
                <w:rFonts w:hint="eastAsia"/>
                <w:vertAlign w:val="baseline"/>
                <w:lang w:val="en-US" w:eastAsia="zh-CN"/>
              </w:rPr>
              <w:t>15分）</w:t>
            </w:r>
          </w:p>
        </w:tc>
        <w:tc>
          <w:tcPr>
            <w:tcW w:w="6308" w:type="dxa"/>
            <w:vAlign w:val="center"/>
          </w:tcPr>
          <w:p>
            <w:pPr>
              <w:jc w:val="left"/>
              <w:rPr>
                <w:rFonts w:hint="eastAsia" w:eastAsiaTheme="minorEastAsia"/>
                <w:vertAlign w:val="baseline"/>
                <w:lang w:eastAsia="zh-CN"/>
              </w:rPr>
            </w:pPr>
            <w:r>
              <w:rPr>
                <w:rFonts w:hint="eastAsia"/>
                <w:vertAlign w:val="baseline"/>
              </w:rPr>
              <w:t>在学校或学院组织的宿舍评比、劳动比赛中获得奖</w:t>
            </w:r>
            <w:r>
              <w:rPr>
                <w:rFonts w:hint="eastAsia"/>
                <w:vertAlign w:val="baseli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个人综合素养</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学习发展素养（</w:t>
            </w:r>
            <w:r>
              <w:rPr>
                <w:rFonts w:hint="eastAsia"/>
                <w:vertAlign w:val="baseline"/>
                <w:lang w:val="en-US" w:eastAsia="zh-CN"/>
              </w:rPr>
              <w:t>50分）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学习与生活素质（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适应大学环境，认识大学的特点，接受大学学习和生活方式，能利用环境变化的有利因素，培养与完善弹性适应社会的能力。</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有追求卓越的学习意识，有开拓进取的精神，有坚定的学习意志，有浓厚的学习兴趣，有自主学习的能力。</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热爱生活，有良好的独立思考能力与学习、生活习惯，通过努力不断提高和完善自身的知识结构。</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3" w:type="dxa"/>
            <w:vMerge w:val="continue"/>
            <w:vAlign w:val="center"/>
          </w:tcPr>
          <w:p>
            <w:pPr>
              <w:jc w:val="center"/>
              <w:rPr>
                <w:vertAlign w:val="baseline"/>
              </w:rPr>
            </w:pPr>
          </w:p>
        </w:tc>
        <w:tc>
          <w:tcPr>
            <w:tcW w:w="716" w:type="dxa"/>
            <w:vMerge w:val="continue"/>
            <w:vAlign w:val="center"/>
          </w:tcPr>
          <w:p>
            <w:pPr>
              <w:jc w:val="center"/>
              <w:rPr>
                <w:rFonts w:hint="eastAsia" w:eastAsiaTheme="minorEastAsia"/>
                <w:vertAlign w:val="baseline"/>
                <w:lang w:eastAsia="zh-CN"/>
              </w:rPr>
            </w:pP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实践与创新素质（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能够学以致用，理论联系实际，能够把所学知识用于分析问题、解决问题上；积极参加实践，在实践中不断丰富和完善自己的知识。</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胸怀远大理想，富于探索精神；乐于接受新生事物，能在学习已有知识能力的基础上，提出新的观点、见解或作出发明创造。</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处理问题不拘泥于固定模式，能举一反三，善于质疑辨析，能突破固有思维，理性、多角度看问题，具有创造性思维。</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53" w:type="dxa"/>
            <w:vMerge w:val="continue"/>
            <w:vAlign w:val="center"/>
          </w:tcPr>
          <w:p>
            <w:pPr>
              <w:jc w:val="center"/>
              <w:rPr>
                <w:vertAlign w:val="baseline"/>
              </w:rPr>
            </w:pP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科学文化素养（</w:t>
            </w:r>
            <w:r>
              <w:rPr>
                <w:rFonts w:hint="eastAsia"/>
                <w:vertAlign w:val="baseline"/>
                <w:lang w:val="en-US" w:eastAsia="zh-CN"/>
              </w:rPr>
              <w:t>25分）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科学文化素质（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科学思维富有逻辑，能归纳和演绎所学知识，能辩证的认识事物，系统而整体的看待事物，对问题能全过程的分析，从大局出发进行决策。</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具有丰富的社会科学、人文科学、自然科学等学科知识；有健康高雅的审美情趣和审美能力；具有高尚的文化修养，崇尚科学，掌握科学知识且具有科学精神。</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能掌握信息技术尤其是计算机应用技术，能够有效且高效地获取信息，能够正确地评价信息，能够精确地、创造性地使用信息。</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53" w:type="dxa"/>
            <w:vMerge w:val="continue"/>
            <w:vAlign w:val="center"/>
          </w:tcPr>
          <w:p>
            <w:pPr>
              <w:jc w:val="center"/>
              <w:rPr>
                <w:vertAlign w:val="baseline"/>
              </w:rPr>
            </w:pP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心理健康素养（</w:t>
            </w:r>
            <w:r>
              <w:rPr>
                <w:rFonts w:hint="eastAsia"/>
                <w:vertAlign w:val="baseline"/>
                <w:lang w:val="en-US" w:eastAsia="zh-CN"/>
              </w:rPr>
              <w:t>25分）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心理健康素质（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具有健康的人格，能保持正确的自我意识，接纳自我，能保持完整统一的人格品质。</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具有良好的心理素质，有坚定的意志、信念，有良好的情绪调节能力；能保持良好的心境，对事物反应适度，不迟缓、不敏感。</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具有和谐的人际关系，能保持良好的环境适应能力，包括正确认识环境及处理个人和环境的关系。</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p>
        </w:tc>
      </w:tr>
    </w:tbl>
    <w:p>
      <w:pPr>
        <w:numPr>
          <w:ilvl w:val="0"/>
          <w:numId w:val="0"/>
        </w:numPr>
        <w:rPr>
          <w:rFonts w:hint="eastAsia" w:ascii="宋体" w:hAnsi="宋体"/>
          <w:b/>
          <w:sz w:val="24"/>
        </w:rPr>
      </w:pPr>
      <w:r>
        <w:rPr>
          <w:rFonts w:hint="eastAsia" w:ascii="宋体" w:hAnsi="宋体"/>
          <w:b/>
          <w:sz w:val="24"/>
          <w:lang w:eastAsia="zh-CN"/>
        </w:rPr>
        <w:t>二、发展性</w:t>
      </w:r>
      <w:r>
        <w:rPr>
          <w:rFonts w:hint="eastAsia" w:ascii="宋体" w:hAnsi="宋体"/>
          <w:b/>
          <w:sz w:val="24"/>
        </w:rPr>
        <w:t>素质测评（</w:t>
      </w:r>
      <w:r>
        <w:rPr>
          <w:rFonts w:hint="eastAsia" w:ascii="宋体" w:hAnsi="宋体"/>
          <w:b/>
          <w:sz w:val="24"/>
          <w:lang w:val="en-US" w:eastAsia="zh-CN"/>
        </w:rPr>
        <w:t>30</w:t>
      </w:r>
      <w:r>
        <w:rPr>
          <w:rFonts w:hint="eastAsia" w:ascii="宋体" w:hAnsi="宋体"/>
          <w:b/>
          <w:sz w:val="24"/>
        </w:rPr>
        <w:t>分）</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rPr>
        <w:t>发展性素质测评是对学生的自身素质拓展方面进行的综合评价，包括荣誉称号、学科竞赛、社会工作、知识与技能四个加分维度（加分上限为30分）和日常操行减分项。</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rPr>
        <w:t>（一）荣誉称号加分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1、在本学年度获得如下荣誉称号的，可按如下标准加分：</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2"/>
        <w:gridCol w:w="1140"/>
        <w:gridCol w:w="960"/>
        <w:gridCol w:w="1005"/>
        <w:gridCol w:w="96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项    目</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国家级</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省级</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b/>
                <w:sz w:val="24"/>
              </w:rPr>
              <w:t>市级</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b/>
                <w:sz w:val="24"/>
              </w:rPr>
              <w:t>校级</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院系级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优秀共产党员、优秀团骨干、</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优秀学生骨干、优秀团员</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社会实践、军训、志愿服务、慈善公益活动等各类活动中获得积极分子或先进个人</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在见义勇为、拾金不昧、帮弱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助残、抢险救灾、抢救伤残等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方面有突出事迹，受到表彰。</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bookmarkStart w:id="0" w:name="_Hlk326675107"/>
            <w:bookmarkStart w:id="1" w:name="OLE_LINK5" w:colFirst="1" w:colLast="4"/>
            <w:bookmarkStart w:id="2" w:name="OLE_LINK4" w:colFirst="1" w:colLast="4"/>
            <w:r>
              <w:rPr>
                <w:rFonts w:hint="eastAsia" w:ascii="宋体" w:hAnsi="宋体"/>
                <w:sz w:val="24"/>
              </w:rPr>
              <w:t>优秀集体（优良学风班、红旗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团支部、优秀团总支、共青团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工作创新奖、优秀学生会等）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加分对象：主要负责人、一般负责人、班长、团支书（每项限3人）</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注：以学院团总支作为获奖单位的优秀团总支，加分对象是学院团总支的负责人；以班级团支部作为获奖单位的红旗团支部，加分对象是班级团支部（团的奖项中普通群众不加分，非团员不能参加）。</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7/6</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6/5</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5/4</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3/2</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优秀班集体（优良学风班、红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旗团支部、优秀团总支、共青</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团工作创新奖、优秀学生会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加分对象：未加分的一般负责人、工作人员、普通学生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注：以学院团总支作为获奖单位的优秀团总支，加分对象是学院团总支的负责人；以班级团支部作为获奖单位的红旗团支部，加分对象是班级团支部（团的奖项中普通群众不加分，非团员不能参加）。</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优秀实践团队负责人（1名）/</w:t>
            </w:r>
            <w:r>
              <w:rPr>
                <w:rFonts w:hint="eastAsia" w:ascii="宋体" w:hAnsi="宋体"/>
                <w:sz w:val="24"/>
                <w:lang w:eastAsia="zh-CN"/>
              </w:rPr>
              <w:t>主要骨干</w:t>
            </w:r>
            <w:r>
              <w:rPr>
                <w:rFonts w:hint="eastAsia" w:ascii="宋体" w:hAnsi="宋体"/>
                <w:sz w:val="24"/>
              </w:rPr>
              <w:t>（限3名）</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7/6</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6/5</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5/4</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3/2</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hint="eastAsia" w:ascii="宋体" w:hAnsi="宋体"/>
                <w:sz w:val="24"/>
                <w:lang w:eastAsia="zh-CN"/>
              </w:rPr>
              <w:t>优秀社团普通骨干与社团成员</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0.75</w:t>
            </w:r>
          </w:p>
        </w:tc>
      </w:tr>
    </w:tbl>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highlight w:val="none"/>
        </w:rPr>
      </w:pPr>
      <w:r>
        <w:rPr>
          <w:rFonts w:hint="eastAsia" w:ascii="宋体" w:hAnsi="宋体"/>
          <w:sz w:val="24"/>
          <w:highlight w:val="none"/>
        </w:rPr>
        <w:t>2、文学与传媒学院学生专业实践团队</w:t>
      </w:r>
      <w:r>
        <w:rPr>
          <w:rFonts w:hint="eastAsia" w:ascii="宋体" w:hAnsi="宋体"/>
          <w:sz w:val="24"/>
          <w:highlight w:val="none"/>
          <w:lang w:eastAsia="zh-CN"/>
        </w:rPr>
        <w:t>、就业助理团队小组</w:t>
      </w:r>
      <w:r>
        <w:rPr>
          <w:rStyle w:val="9"/>
          <w:rFonts w:hint="eastAsia" w:ascii="宋体" w:hAnsi="宋体"/>
          <w:sz w:val="24"/>
          <w:highlight w:val="none"/>
          <w:lang w:eastAsia="zh-CN"/>
        </w:rPr>
        <w:footnoteReference w:id="0"/>
      </w:r>
      <w:r>
        <w:rPr>
          <w:rFonts w:hint="eastAsia" w:ascii="宋体" w:hAnsi="宋体"/>
          <w:sz w:val="24"/>
          <w:highlight w:val="none"/>
        </w:rPr>
        <w:t>依据本学年综合考评结果，具体加分规则如下：</w:t>
      </w:r>
    </w:p>
    <w:tbl>
      <w:tblPr>
        <w:tblStyle w:val="6"/>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373"/>
        <w:gridCol w:w="1706"/>
        <w:gridCol w:w="170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3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类别</w:t>
            </w:r>
          </w:p>
        </w:tc>
        <w:tc>
          <w:tcPr>
            <w:tcW w:w="13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优秀</w:t>
            </w:r>
          </w:p>
        </w:tc>
        <w:tc>
          <w:tcPr>
            <w:tcW w:w="17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良好</w:t>
            </w:r>
          </w:p>
        </w:tc>
        <w:tc>
          <w:tcPr>
            <w:tcW w:w="17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合格</w:t>
            </w:r>
          </w:p>
        </w:tc>
        <w:tc>
          <w:tcPr>
            <w:tcW w:w="19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037" w:type="dxa"/>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b/>
                <w:bCs/>
                <w:sz w:val="24"/>
              </w:rPr>
            </w:pPr>
            <w:r>
              <w:rPr>
                <w:rFonts w:hint="eastAsia" w:ascii="宋体" w:hAnsi="宋体"/>
                <w:b/>
                <w:bCs/>
                <w:sz w:val="24"/>
              </w:rPr>
              <w:t>主要负责人（1名）/一般负责人</w:t>
            </w:r>
          </w:p>
        </w:tc>
        <w:tc>
          <w:tcPr>
            <w:tcW w:w="1373" w:type="dxa"/>
            <w:noWrap w:val="0"/>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2/1</w:t>
            </w:r>
          </w:p>
        </w:tc>
        <w:tc>
          <w:tcPr>
            <w:tcW w:w="17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1/0.5</w:t>
            </w:r>
          </w:p>
        </w:tc>
        <w:tc>
          <w:tcPr>
            <w:tcW w:w="17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0.5/0.25</w:t>
            </w:r>
          </w:p>
        </w:tc>
        <w:tc>
          <w:tcPr>
            <w:tcW w:w="19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037" w:type="dxa"/>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b/>
                <w:bCs/>
                <w:sz w:val="24"/>
              </w:rPr>
            </w:pPr>
            <w:r>
              <w:rPr>
                <w:rFonts w:hint="eastAsia" w:ascii="宋体" w:hAnsi="宋体"/>
                <w:b/>
                <w:bCs/>
                <w:sz w:val="24"/>
              </w:rPr>
              <w:t>未加分的一般负责人/成员</w:t>
            </w:r>
          </w:p>
        </w:tc>
        <w:tc>
          <w:tcPr>
            <w:tcW w:w="1373" w:type="dxa"/>
            <w:noWrap w:val="0"/>
            <w:vAlign w:val="top"/>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ascii="宋体" w:hAnsi="宋体"/>
                <w:sz w:val="24"/>
              </w:rPr>
            </w:pPr>
            <w:r>
              <w:rPr>
                <w:rFonts w:hint="eastAsia" w:ascii="宋体" w:hAnsi="宋体"/>
                <w:sz w:val="24"/>
              </w:rPr>
              <w:t>0.75</w:t>
            </w:r>
          </w:p>
        </w:tc>
        <w:tc>
          <w:tcPr>
            <w:tcW w:w="1706" w:type="dxa"/>
            <w:noWrap w:val="0"/>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0.5</w:t>
            </w:r>
          </w:p>
        </w:tc>
        <w:tc>
          <w:tcPr>
            <w:tcW w:w="17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0.25</w:t>
            </w:r>
          </w:p>
        </w:tc>
        <w:tc>
          <w:tcPr>
            <w:tcW w:w="19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0</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院系每学年结束前对学生专业实践团队进行一次考评，备案考评结果（原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szCs w:val="24"/>
        </w:rPr>
        <w:t>则上比例为：优秀≤30%，良好≤50%，合格≤20%）。</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、网络与实验中心、就业指导中心、招生办公室、图书馆等单位的非勤工助学岗的优秀学生助理</w:t>
      </w:r>
      <w:r>
        <w:rPr>
          <w:rFonts w:hint="eastAsia" w:ascii="宋体" w:hAnsi="宋体"/>
          <w:sz w:val="24"/>
          <w:lang w:eastAsia="zh-CN"/>
        </w:rPr>
        <w:t>加</w:t>
      </w:r>
      <w:r>
        <w:rPr>
          <w:rFonts w:hint="eastAsia" w:ascii="宋体" w:hAnsi="宋体"/>
          <w:sz w:val="24"/>
          <w:lang w:val="en-US" w:eastAsia="zh-CN"/>
        </w:rPr>
        <w:t>1分，获</w:t>
      </w:r>
      <w:r>
        <w:rPr>
          <w:rFonts w:hint="eastAsia" w:ascii="宋体" w:hAnsi="宋体"/>
          <w:sz w:val="24"/>
        </w:rPr>
        <w:t>学</w:t>
      </w:r>
      <w:r>
        <w:rPr>
          <w:rFonts w:hint="eastAsia" w:ascii="宋体" w:hAnsi="宋体"/>
          <w:sz w:val="24"/>
          <w:lang w:eastAsia="zh-CN"/>
        </w:rPr>
        <w:t>校</w:t>
      </w:r>
      <w:r>
        <w:rPr>
          <w:rFonts w:hint="eastAsia" w:ascii="宋体" w:hAnsi="宋体"/>
          <w:sz w:val="24"/>
        </w:rPr>
        <w:t>记者团</w:t>
      </w:r>
      <w:r>
        <w:rPr>
          <w:rFonts w:hint="eastAsia" w:ascii="宋体" w:hAnsi="宋体"/>
          <w:sz w:val="24"/>
          <w:lang w:eastAsia="zh-CN"/>
        </w:rPr>
        <w:t>或文传学院</w:t>
      </w:r>
      <w:r>
        <w:rPr>
          <w:rFonts w:hint="eastAsia" w:ascii="宋体" w:hAnsi="宋体"/>
          <w:sz w:val="24"/>
        </w:rPr>
        <w:t>“优秀记者”称号加2分，勤工助学获“先进个人”称号的加1分，应以相关评先文件为佐证材料。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、同一荣誉称号有不同级别的，按照获得的最高级别计算，不累加</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、获得20</w:t>
      </w:r>
      <w:r>
        <w:rPr>
          <w:rFonts w:hint="eastAsia" w:ascii="宋体" w:hAnsi="宋体"/>
          <w:sz w:val="24"/>
          <w:lang w:val="en-US" w:eastAsia="zh-CN"/>
        </w:rPr>
        <w:t>20</w:t>
      </w:r>
      <w:r>
        <w:rPr>
          <w:rFonts w:hint="eastAsia" w:ascii="宋体" w:hAnsi="宋体"/>
          <w:sz w:val="24"/>
        </w:rPr>
        <w:t>—20</w:t>
      </w:r>
      <w:r>
        <w:rPr>
          <w:rFonts w:hint="eastAsia" w:ascii="宋体" w:hAnsi="宋体"/>
          <w:sz w:val="24"/>
          <w:lang w:val="en-US" w:eastAsia="zh-CN"/>
        </w:rPr>
        <w:t>21</w:t>
      </w:r>
      <w:r>
        <w:rPr>
          <w:rFonts w:hint="eastAsia" w:ascii="宋体" w:hAnsi="宋体"/>
          <w:sz w:val="24"/>
        </w:rPr>
        <w:t>学年优秀学生奖学金（证书）不计入此次综合素质测评加分范畴。</w:t>
      </w:r>
    </w:p>
    <w:p>
      <w:pPr>
        <w:keepNext w:val="0"/>
        <w:keepLines w:val="0"/>
        <w:pageBreakBefore w:val="0"/>
        <w:kinsoku/>
        <w:wordWrap/>
        <w:overflowPunct/>
        <w:topLinePunct w:val="0"/>
        <w:autoSpaceDE/>
        <w:autoSpaceDN/>
        <w:bidi w:val="0"/>
        <w:adjustRightInd/>
        <w:snapToGrid/>
        <w:spacing w:line="400" w:lineRule="exact"/>
        <w:ind w:firstLine="465"/>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、以上有关团学组织的评优，由学院团总支负责解释。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（二）文体艺术等竞赛活动获奖加分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1、本学年在各级文体艺术等竞赛活动中获得名次及荣誉的，可按如下标准加分：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969"/>
        <w:gridCol w:w="618"/>
        <w:gridCol w:w="642"/>
        <w:gridCol w:w="581"/>
        <w:gridCol w:w="615"/>
        <w:gridCol w:w="667"/>
        <w:gridCol w:w="538"/>
        <w:gridCol w:w="108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162" w:type="dxa"/>
            <w:tcBorders>
              <w:tl2br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 xml:space="preserve">     名次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级别</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特等奖</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一</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三</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四</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五</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六</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单项奖</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（个人）</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单项奖</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国家级及以上</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省部级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市厅级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校级（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1.5</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院系级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2.5</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1.5</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bookmarkStart w:id="3" w:name="OLE_LINK8"/>
            <w:r>
              <w:rPr>
                <w:rFonts w:hint="eastAsia" w:ascii="宋体" w:hAnsi="宋体"/>
                <w:sz w:val="24"/>
              </w:rPr>
              <w:t>—</w:t>
            </w:r>
            <w:bookmarkEnd w:id="3"/>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r>
    </w:tbl>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参加同一项目获得不同级别奖励的，按最高分计一次，不累计加分</w:t>
      </w:r>
      <w:r>
        <w:rPr>
          <w:rFonts w:hint="eastAsia" w:ascii="宋体" w:hAnsi="宋体"/>
          <w:sz w:val="24"/>
          <w:lang w:eastAsia="zh-CN"/>
        </w:rPr>
        <w:t>。</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没有设置等级及具体奖项的，如入围奖、优秀奖或者六等奖、第六名以后的奖项，均按照六等奖标准进行更加分。</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所有集体奖项获得者（即两人及以上获得同一个奖项）</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sz w:val="24"/>
        </w:rPr>
      </w:pPr>
      <w:r>
        <w:rPr>
          <w:rFonts w:hint="eastAsia" w:ascii="宋体" w:hAnsi="宋体"/>
          <w:sz w:val="24"/>
        </w:rPr>
        <w:t>5、所有集体奖项获得者（即两人以上获得同一个奖项），按相应等级分值的一半计分。</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sz w:val="24"/>
        </w:rPr>
      </w:pPr>
      <w:r>
        <w:rPr>
          <w:rFonts w:hint="eastAsia" w:ascii="宋体" w:hAnsi="宋体"/>
          <w:sz w:val="24"/>
        </w:rPr>
        <w:t>6、获得院系体育嘉年华/趣味运动会道德风尚奖，每名同学加1分，未到场不加分（此名单由参加并到场的班级提供）；获得院系体育嘉年华/趣味运动会最佳风采奖班级，每名同学加0.5分，未到场不加分。道德风尚奖与最佳风采奖同时拿的，不累加，只取最高值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（三）实践服务加分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1、实践服务加分依据是本学年承担工作的内容和学年综合考评结果，具体如下：</w:t>
      </w:r>
    </w:p>
    <w:tbl>
      <w:tblPr>
        <w:tblStyle w:val="6"/>
        <w:tblW w:w="8780" w:type="dxa"/>
        <w:jc w:val="center"/>
        <w:tblLayout w:type="fixed"/>
        <w:tblCellMar>
          <w:top w:w="0" w:type="dxa"/>
          <w:left w:w="108" w:type="dxa"/>
          <w:bottom w:w="0" w:type="dxa"/>
          <w:right w:w="108" w:type="dxa"/>
        </w:tblCellMar>
      </w:tblPr>
      <w:tblGrid>
        <w:gridCol w:w="3479"/>
        <w:gridCol w:w="1417"/>
        <w:gridCol w:w="1418"/>
        <w:gridCol w:w="1274"/>
        <w:gridCol w:w="1192"/>
      </w:tblGrid>
      <w:tr>
        <w:tblPrEx>
          <w:tblCellMar>
            <w:top w:w="0" w:type="dxa"/>
            <w:left w:w="108" w:type="dxa"/>
            <w:bottom w:w="0" w:type="dxa"/>
            <w:right w:w="108" w:type="dxa"/>
          </w:tblCellMar>
        </w:tblPrEx>
        <w:trPr>
          <w:trHeight w:val="670" w:hRule="atLeast"/>
          <w:jc w:val="center"/>
        </w:trPr>
        <w:tc>
          <w:tcPr>
            <w:tcW w:w="3479"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类别</w:t>
            </w:r>
          </w:p>
        </w:tc>
        <w:tc>
          <w:tcPr>
            <w:tcW w:w="1417" w:type="dxa"/>
            <w:tcBorders>
              <w:top w:val="single" w:color="auto" w:sz="8"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优秀</w:t>
            </w:r>
          </w:p>
        </w:tc>
        <w:tc>
          <w:tcPr>
            <w:tcW w:w="141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称职</w:t>
            </w:r>
          </w:p>
        </w:tc>
        <w:tc>
          <w:tcPr>
            <w:tcW w:w="1274"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基本称职</w:t>
            </w:r>
          </w:p>
        </w:tc>
        <w:tc>
          <w:tcPr>
            <w:tcW w:w="1192"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不称职</w:t>
            </w:r>
          </w:p>
        </w:tc>
      </w:tr>
      <w:tr>
        <w:tblPrEx>
          <w:tblCellMar>
            <w:top w:w="0" w:type="dxa"/>
            <w:left w:w="108" w:type="dxa"/>
            <w:bottom w:w="0" w:type="dxa"/>
            <w:right w:w="108" w:type="dxa"/>
          </w:tblCellMar>
        </w:tblPrEx>
        <w:trPr>
          <w:trHeight w:val="682" w:hRule="atLeast"/>
          <w:jc w:val="center"/>
        </w:trPr>
        <w:tc>
          <w:tcPr>
            <w:tcW w:w="3479" w:type="dxa"/>
            <w:tcBorders>
              <w:top w:val="nil"/>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主要学生</w:t>
            </w:r>
            <w:r>
              <w:rPr>
                <w:rFonts w:hint="eastAsia" w:ascii="宋体" w:hAnsi="宋体" w:eastAsia="宋体" w:cs="宋体"/>
                <w:b/>
                <w:bCs/>
                <w:sz w:val="24"/>
                <w:lang w:eastAsia="zh-CN"/>
              </w:rPr>
              <w:t>骨干</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4</w:t>
            </w:r>
          </w:p>
        </w:tc>
        <w:tc>
          <w:tcPr>
            <w:tcW w:w="1418" w:type="dxa"/>
            <w:tcBorders>
              <w:top w:val="nil"/>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3</w:t>
            </w:r>
          </w:p>
        </w:tc>
        <w:tc>
          <w:tcPr>
            <w:tcW w:w="1274"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2.5</w:t>
            </w:r>
          </w:p>
        </w:tc>
        <w:tc>
          <w:tcPr>
            <w:tcW w:w="1192"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0</w:t>
            </w:r>
          </w:p>
        </w:tc>
      </w:tr>
      <w:tr>
        <w:tblPrEx>
          <w:tblCellMar>
            <w:top w:w="0" w:type="dxa"/>
            <w:left w:w="108" w:type="dxa"/>
            <w:bottom w:w="0" w:type="dxa"/>
            <w:right w:w="108" w:type="dxa"/>
          </w:tblCellMar>
        </w:tblPrEx>
        <w:trPr>
          <w:trHeight w:val="715" w:hRule="atLeast"/>
          <w:jc w:val="center"/>
        </w:trPr>
        <w:tc>
          <w:tcPr>
            <w:tcW w:w="3479"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lang w:eastAsia="zh-CN"/>
              </w:rPr>
            </w:pPr>
            <w:r>
              <w:rPr>
                <w:rFonts w:hint="eastAsia" w:ascii="宋体" w:hAnsi="宋体" w:eastAsia="宋体" w:cs="宋体"/>
                <w:b/>
                <w:bCs/>
                <w:sz w:val="24"/>
              </w:rPr>
              <w:t>其他学生</w:t>
            </w:r>
            <w:r>
              <w:rPr>
                <w:rFonts w:hint="eastAsia" w:ascii="宋体" w:hAnsi="宋体" w:eastAsia="宋体" w:cs="宋体"/>
                <w:b/>
                <w:bCs/>
                <w:sz w:val="24"/>
                <w:lang w:eastAsia="zh-CN"/>
              </w:rPr>
              <w:t>骨干</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3.5</w:t>
            </w:r>
          </w:p>
        </w:tc>
        <w:tc>
          <w:tcPr>
            <w:tcW w:w="14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3</w:t>
            </w:r>
          </w:p>
        </w:tc>
        <w:tc>
          <w:tcPr>
            <w:tcW w:w="1274"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2.5</w:t>
            </w:r>
          </w:p>
        </w:tc>
        <w:tc>
          <w:tcPr>
            <w:tcW w:w="1192"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0</w:t>
            </w:r>
          </w:p>
        </w:tc>
      </w:tr>
    </w:tbl>
    <w:p>
      <w:pPr>
        <w:pStyle w:val="5"/>
        <w:keepNext w:val="0"/>
        <w:keepLines w:val="0"/>
        <w:pageBreakBefore w:val="0"/>
        <w:kinsoku/>
        <w:wordWrap/>
        <w:overflowPunct/>
        <w:topLinePunct w:val="0"/>
        <w:autoSpaceDE/>
        <w:autoSpaceDN/>
        <w:bidi w:val="0"/>
        <w:adjustRightInd/>
        <w:snapToGrid/>
        <w:spacing w:after="0" w:afterAutospacing="0" w:line="400" w:lineRule="exact"/>
        <w:ind w:firstLine="420"/>
        <w:textAlignment w:val="auto"/>
        <w:rPr>
          <w:rFonts w:hint="eastAsia"/>
        </w:rPr>
      </w:pPr>
      <w:r>
        <w:t>2</w:t>
      </w:r>
      <w:r>
        <w:rPr>
          <w:rFonts w:hint="eastAsia"/>
        </w:rPr>
        <w:t>、学生</w:t>
      </w:r>
      <w:r>
        <w:rPr>
          <w:rFonts w:hint="eastAsia"/>
          <w:lang w:eastAsia="zh-CN"/>
        </w:rPr>
        <w:t>骨干</w:t>
      </w:r>
      <w:r>
        <w:t>类别分为</w:t>
      </w:r>
      <w:r>
        <w:rPr>
          <w:rFonts w:hint="eastAsia"/>
        </w:rPr>
        <w:t>主要学生组织</w:t>
      </w:r>
      <w:r>
        <w:rPr>
          <w:rFonts w:hint="eastAsia"/>
          <w:lang w:eastAsia="zh-CN"/>
        </w:rPr>
        <w:t>骨干</w:t>
      </w:r>
      <w:r>
        <w:t>、</w:t>
      </w:r>
      <w:r>
        <w:rPr>
          <w:rFonts w:hint="eastAsia"/>
        </w:rPr>
        <w:t>其他学生</w:t>
      </w:r>
      <w:r>
        <w:rPr>
          <w:rFonts w:hint="eastAsia"/>
          <w:lang w:eastAsia="zh-CN"/>
        </w:rPr>
        <w:t>骨干</w:t>
      </w:r>
      <w:r>
        <w:t>两种</w:t>
      </w:r>
      <w:r>
        <w:rPr>
          <w:rFonts w:hint="eastAsi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ä»¿å®GB2312" w:hAnsi="ä»¿å®GB2312" w:eastAsia="宋体"/>
          <w:lang w:eastAsia="zh-CN"/>
        </w:rPr>
      </w:pPr>
      <w:r>
        <w:rPr>
          <w:rFonts w:hint="eastAsia" w:cs="Times New Roman"/>
        </w:rPr>
        <w:t>①</w:t>
      </w:r>
      <w:r>
        <w:rPr>
          <w:rFonts w:hint="eastAsia"/>
        </w:rPr>
        <w:t>主要学生</w:t>
      </w:r>
      <w:r>
        <w:rPr>
          <w:rFonts w:hint="eastAsia"/>
          <w:lang w:eastAsia="zh-CN"/>
        </w:rPr>
        <w:t>骨干</w:t>
      </w:r>
      <w:r>
        <w:t>包括校级团委、学生会、社团联合会、 青年志愿者组织、艺术发展中心、红十字会，</w:t>
      </w:r>
      <w:r>
        <w:rPr>
          <w:rFonts w:hint="eastAsia"/>
        </w:rPr>
        <w:t>文学与传媒学院团总支、学生会下设机构，及学生专业实践团队</w:t>
      </w:r>
      <w:r>
        <w:rPr>
          <w:rFonts w:ascii="ä»¿å®GB2312" w:hAnsi="ä»¿å®GB2312"/>
          <w:highlight w:val="none"/>
        </w:rPr>
        <w:t>；</w:t>
      </w:r>
      <w:r>
        <w:rPr>
          <w:rFonts w:hint="eastAsia" w:ascii="ä»¿å®GB2312" w:hAnsi="ä»¿å®GB2312"/>
          <w:highlight w:val="none"/>
        </w:rPr>
        <w:t>以</w:t>
      </w:r>
      <w:r>
        <w:rPr>
          <w:rFonts w:ascii="ä»¿å®GB2312" w:hAnsi="ä»¿å®GB2312"/>
          <w:highlight w:val="none"/>
        </w:rPr>
        <w:t>及</w:t>
      </w:r>
      <w:r>
        <w:rPr>
          <w:rFonts w:hint="eastAsia" w:ascii="ä»¿å®GB2312" w:hAnsi="ä»¿å®GB2312"/>
          <w:highlight w:val="none"/>
        </w:rPr>
        <w:t>本</w:t>
      </w:r>
      <w:r>
        <w:rPr>
          <w:rFonts w:ascii="ä»¿å®GB2312" w:hAnsi="ä»¿å®GB2312"/>
          <w:highlight w:val="none"/>
        </w:rPr>
        <w:t>院系学生班主任、</w:t>
      </w:r>
      <w:r>
        <w:rPr>
          <w:rFonts w:hint="eastAsia" w:ascii="ä»¿å®GB2312" w:hAnsi="ä»¿å®GB2312"/>
          <w:highlight w:val="none"/>
          <w:lang w:eastAsia="zh-CN"/>
        </w:rPr>
        <w:t>辅导员助理、</w:t>
      </w:r>
      <w:r>
        <w:rPr>
          <w:rFonts w:ascii="ä»¿å®GB2312" w:hAnsi="ä»¿å®GB2312"/>
          <w:highlight w:val="none"/>
        </w:rPr>
        <w:t>年级长</w:t>
      </w:r>
      <w:r>
        <w:rPr>
          <w:rFonts w:hint="eastAsia" w:ascii="ä»¿å®GB2312" w:hAnsi="ä»¿å®GB2312"/>
          <w:highlight w:val="none"/>
        </w:rPr>
        <w:t>、</w:t>
      </w:r>
      <w:r>
        <w:rPr>
          <w:rFonts w:ascii="ä»¿å®GB2312" w:hAnsi="ä»¿å®GB2312"/>
          <w:highlight w:val="none"/>
        </w:rPr>
        <w:t>各班级</w:t>
      </w:r>
      <w:r>
        <w:rPr>
          <w:rFonts w:hint="eastAsia" w:ascii="ä»¿å®GB2312" w:hAnsi="ä»¿å®GB2312"/>
          <w:highlight w:val="none"/>
        </w:rPr>
        <w:t>团干和</w:t>
      </w:r>
      <w:r>
        <w:rPr>
          <w:rFonts w:ascii="ä»¿å®GB2312" w:hAnsi="ä»¿å®GB2312"/>
          <w:highlight w:val="none"/>
        </w:rPr>
        <w:t>班干</w:t>
      </w:r>
      <w:r>
        <w:rPr>
          <w:rFonts w:hint="eastAsia" w:ascii="ä»¿å®GB2312" w:hAnsi="ä»¿å®GB2312"/>
          <w:highlight w:val="none"/>
          <w:lang w:eastAsia="zh-CN"/>
        </w:rPr>
        <w:t>（注：班长和年级长可以同时参评，但综合考评结果取最高等</w:t>
      </w:r>
      <w:r>
        <w:rPr>
          <w:rFonts w:hint="eastAsia" w:ascii="ä»¿å®GB2312" w:hAnsi="ä»¿å®GB2312"/>
          <w:lang w:eastAsia="zh-CN"/>
        </w:rPr>
        <w:t>级加分，不可累计）。</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ä»¿å®GB2312" w:hAnsi="ä»¿å®GB2312" w:eastAsia="宋体"/>
          <w:lang w:eastAsia="zh-CN"/>
        </w:rPr>
      </w:pPr>
      <w:r>
        <w:rPr>
          <w:rFonts w:hint="eastAsia"/>
        </w:rPr>
        <w:t>②其他学生</w:t>
      </w:r>
      <w:r>
        <w:rPr>
          <w:rFonts w:hint="eastAsia"/>
          <w:lang w:eastAsia="zh-CN"/>
        </w:rPr>
        <w:t>骨干</w:t>
      </w:r>
      <w:r>
        <w:rPr>
          <w:rFonts w:ascii="ä»¿å®GB2312" w:hAnsi="ä»¿å®GB2312"/>
        </w:rPr>
        <w:t>包括学校各院系、室、部、中心、馆等单位，自主成立并于学生工作</w:t>
      </w:r>
      <w:r>
        <w:rPr>
          <w:rFonts w:hint="eastAsia" w:ascii="ä»¿å®GB2312" w:hAnsi="ä»¿å®GB2312"/>
          <w:lang w:eastAsia="zh-CN"/>
        </w:rPr>
        <w:t>处</w:t>
      </w:r>
      <w:r>
        <w:rPr>
          <w:rFonts w:ascii="ä»¿å®GB2312" w:hAnsi="ä»¿å®GB2312"/>
        </w:rPr>
        <w:t>或校团委注册备案以协助学校工作开展的学生团体组织的</w:t>
      </w:r>
      <w:r>
        <w:rPr>
          <w:rFonts w:hint="eastAsia" w:ascii="ä»¿å®GB2312" w:hAnsi="ä»¿å®GB2312"/>
        </w:rPr>
        <w:t>学生组织负责人</w:t>
      </w:r>
      <w:r>
        <w:rPr>
          <w:rFonts w:ascii="ä»¿å®GB2312" w:hAnsi="ä»¿å®GB2312"/>
        </w:rPr>
        <w:t>（</w:t>
      </w:r>
      <w:r>
        <w:rPr>
          <w:rFonts w:ascii="å®ä½" w:hAnsi="å®ä½"/>
        </w:rPr>
        <w:t>此</w:t>
      </w:r>
      <w:r>
        <w:rPr>
          <w:rFonts w:ascii="ä»¿å®GB2312" w:hAnsi="ä»¿å®GB2312"/>
        </w:rPr>
        <w:t>名单由学生工作</w:t>
      </w:r>
      <w:r>
        <w:rPr>
          <w:rFonts w:hint="eastAsia" w:ascii="ä»¿å®GB2312" w:hAnsi="ä»¿å®GB2312"/>
          <w:lang w:eastAsia="zh-CN"/>
        </w:rPr>
        <w:t>处</w:t>
      </w:r>
      <w:r>
        <w:rPr>
          <w:rFonts w:ascii="ä»¿å®GB2312" w:hAnsi="ä»¿å®GB2312"/>
        </w:rPr>
        <w:t>或校团委提供）。</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default" w:eastAsia="宋体"/>
          <w:highlight w:val="none"/>
          <w:lang w:val="en-US" w:eastAsia="zh-CN"/>
        </w:rPr>
      </w:pPr>
      <w:r>
        <w:rPr>
          <w:rFonts w:hint="eastAsia" w:ascii="ä»¿å®GB2312" w:hAnsi="ä»¿å®GB2312"/>
          <w:highlight w:val="none"/>
          <w:lang w:val="en-US" w:eastAsia="zh-CN"/>
        </w:rPr>
        <w:t>③就业助理团队对就业助理个人考评参考此项评比办法，其中主要学生组织负责人包含：就业助理联络人、就业助理组长；其它学生组织负责人为副组长。</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3、院系学生</w:t>
      </w:r>
      <w:r>
        <w:rPr>
          <w:rFonts w:hint="eastAsia" w:ascii="宋体" w:hAnsi="宋体"/>
          <w:sz w:val="24"/>
          <w:lang w:eastAsia="zh-CN"/>
        </w:rPr>
        <w:t>骨干</w:t>
      </w:r>
      <w:r>
        <w:rPr>
          <w:rFonts w:hint="eastAsia" w:ascii="宋体" w:hAnsi="宋体"/>
          <w:sz w:val="24"/>
        </w:rPr>
        <w:t>岗位加分依据202</w:t>
      </w:r>
      <w:r>
        <w:rPr>
          <w:rFonts w:hint="eastAsia" w:ascii="宋体" w:hAnsi="宋体"/>
          <w:sz w:val="24"/>
          <w:lang w:val="en-US" w:eastAsia="zh-CN"/>
        </w:rPr>
        <w:t>1</w:t>
      </w:r>
      <w:r>
        <w:rPr>
          <w:rFonts w:hint="eastAsia" w:ascii="宋体" w:hAnsi="宋体"/>
          <w:sz w:val="24"/>
        </w:rPr>
        <w:t>—202</w:t>
      </w:r>
      <w:r>
        <w:rPr>
          <w:rFonts w:hint="eastAsia" w:ascii="宋体" w:hAnsi="宋体"/>
          <w:sz w:val="24"/>
          <w:lang w:val="en-US" w:eastAsia="zh-CN"/>
        </w:rPr>
        <w:t>2</w:t>
      </w:r>
      <w:r>
        <w:rPr>
          <w:rFonts w:hint="eastAsia" w:ascii="宋体" w:hAnsi="宋体"/>
          <w:sz w:val="24"/>
        </w:rPr>
        <w:t>学年考核档次加分值计算</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highlight w:val="none"/>
          <w:lang w:eastAsia="zh-CN"/>
        </w:rPr>
      </w:pPr>
      <w:r>
        <w:rPr>
          <w:rFonts w:hint="eastAsia" w:ascii="宋体" w:hAnsi="宋体"/>
          <w:sz w:val="24"/>
        </w:rPr>
        <w:t>4、一名学生担任多个岗位的，按考评结果记岗位的加分值，可累计，累计</w:t>
      </w:r>
      <w:r>
        <w:rPr>
          <w:rFonts w:hint="eastAsia" w:ascii="宋体" w:hAnsi="宋体"/>
          <w:sz w:val="24"/>
          <w:highlight w:val="none"/>
        </w:rPr>
        <w:t>最多不超过</w:t>
      </w:r>
      <w:r>
        <w:rPr>
          <w:rFonts w:hint="eastAsia" w:ascii="宋体" w:hAnsi="宋体"/>
          <w:sz w:val="24"/>
          <w:highlight w:val="none"/>
          <w:lang w:val="en-US" w:eastAsia="zh-CN"/>
        </w:rPr>
        <w:t>8</w:t>
      </w:r>
      <w:r>
        <w:rPr>
          <w:rFonts w:hint="eastAsia" w:ascii="宋体" w:hAnsi="宋体"/>
          <w:sz w:val="24"/>
          <w:highlight w:val="none"/>
        </w:rPr>
        <w:t>分</w:t>
      </w:r>
      <w:r>
        <w:rPr>
          <w:rFonts w:hint="eastAsia" w:ascii="宋体" w:hAnsi="宋体"/>
          <w:sz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5、任职工作需满一年才可进行考评加分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left="480"/>
        <w:textAlignment w:val="auto"/>
        <w:rPr>
          <w:rFonts w:hint="eastAsia" w:ascii="宋体" w:hAnsi="宋体"/>
          <w:sz w:val="24"/>
        </w:rPr>
      </w:pPr>
      <w:r>
        <w:rPr>
          <w:rFonts w:hint="eastAsia" w:ascii="宋体" w:hAnsi="宋体"/>
          <w:sz w:val="24"/>
        </w:rPr>
        <w:t>6、学校、院系对学生组织要每学年结束前进行一次考评，备案考评结果（原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则上比例为：优秀≤30%，称职≤50%，基本称职≤20%）。</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各院系要对团总支、学生会、班委与团支部等所负责的学生组织负责人，每学年进行一次考评，备案考评结果。（原则上比例为：优秀≤30%，称职≤50%，基本称职≤20%）。</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highlight w:val="none"/>
        </w:rPr>
      </w:pPr>
      <w:r>
        <w:rPr>
          <w:rFonts w:hint="eastAsia" w:ascii="宋体" w:hAnsi="宋体"/>
          <w:sz w:val="24"/>
          <w:highlight w:val="none"/>
          <w:lang w:eastAsia="zh-CN"/>
        </w:rPr>
        <w:t>参加青马工程学习结业后可加</w:t>
      </w:r>
      <w:r>
        <w:rPr>
          <w:rFonts w:hint="eastAsia" w:ascii="宋体" w:hAnsi="宋体"/>
          <w:sz w:val="24"/>
          <w:highlight w:val="none"/>
          <w:lang w:val="en-US" w:eastAsia="zh-CN"/>
        </w:rPr>
        <w:t>1分，完成2021-2022学年度所有青年大学习可加1分。</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highlight w:val="none"/>
        </w:rPr>
      </w:pPr>
      <w:r>
        <w:rPr>
          <w:rFonts w:hint="eastAsia" w:ascii="宋体" w:hAnsi="宋体"/>
          <w:sz w:val="24"/>
          <w:highlight w:val="none"/>
          <w:lang w:eastAsia="zh-CN"/>
        </w:rPr>
        <w:t>献血一次可加</w:t>
      </w:r>
      <w:r>
        <w:rPr>
          <w:rFonts w:hint="eastAsia" w:ascii="宋体" w:hAnsi="宋体"/>
          <w:sz w:val="24"/>
          <w:highlight w:val="none"/>
          <w:lang w:val="en-US" w:eastAsia="zh-CN"/>
        </w:rPr>
        <w:t>0.5分，累计不超过1分。</w:t>
      </w:r>
      <w:r>
        <w:rPr>
          <w:rFonts w:hint="eastAsia" w:ascii="宋体" w:hAnsi="宋体"/>
          <w:sz w:val="24"/>
          <w:highlight w:val="none"/>
          <w:lang w:eastAsia="zh-CN"/>
        </w:rPr>
        <w:t>在</w:t>
      </w:r>
      <w:r>
        <w:rPr>
          <w:rFonts w:hint="eastAsia" w:ascii="宋体" w:hAnsi="宋体"/>
          <w:sz w:val="24"/>
          <w:highlight w:val="none"/>
          <w:lang w:val="en-US" w:eastAsia="zh-CN"/>
        </w:rPr>
        <w:t>2021.9.1至2022.8.31</w:t>
      </w:r>
      <w:r>
        <w:rPr>
          <w:rFonts w:hint="eastAsia" w:ascii="宋体" w:hAnsi="宋体"/>
          <w:sz w:val="24"/>
          <w:highlight w:val="none"/>
          <w:lang w:eastAsia="zh-CN"/>
        </w:rPr>
        <w:t>期间参</w:t>
      </w:r>
      <w:r>
        <w:rPr>
          <w:rFonts w:hint="eastAsia" w:ascii="宋体" w:hAnsi="宋体"/>
          <w:sz w:val="24"/>
          <w:highlight w:val="none"/>
        </w:rPr>
        <w:t>加</w:t>
      </w:r>
      <w:r>
        <w:rPr>
          <w:rFonts w:hint="eastAsia" w:ascii="宋体" w:hAnsi="宋体"/>
          <w:sz w:val="24"/>
          <w:highlight w:val="none"/>
          <w:lang w:eastAsia="zh-CN"/>
        </w:rPr>
        <w:t>社会、学校、院系等</w:t>
      </w:r>
      <w:r>
        <w:rPr>
          <w:rFonts w:hint="eastAsia" w:ascii="宋体" w:hAnsi="宋体"/>
          <w:sz w:val="24"/>
          <w:highlight w:val="none"/>
        </w:rPr>
        <w:t>志愿</w:t>
      </w:r>
      <w:r>
        <w:rPr>
          <w:rFonts w:hint="eastAsia" w:ascii="宋体" w:hAnsi="宋体"/>
          <w:sz w:val="24"/>
          <w:highlight w:val="none"/>
          <w:lang w:eastAsia="zh-CN"/>
        </w:rPr>
        <w:t>活动累计时长（≥</w:t>
      </w:r>
      <w:r>
        <w:rPr>
          <w:rFonts w:hint="eastAsia" w:ascii="宋体" w:hAnsi="宋体"/>
          <w:sz w:val="24"/>
          <w:highlight w:val="none"/>
          <w:lang w:val="en-US" w:eastAsia="zh-CN"/>
        </w:rPr>
        <w:t>20h）加1分；每上升20h志愿时长加1分</w:t>
      </w:r>
      <w:r>
        <w:rPr>
          <w:rFonts w:hint="eastAsia" w:ascii="宋体" w:hAnsi="宋体"/>
          <w:sz w:val="24"/>
          <w:highlight w:val="none"/>
        </w:rPr>
        <w:t>，</w:t>
      </w:r>
      <w:r>
        <w:rPr>
          <w:rFonts w:hint="eastAsia" w:ascii="宋体" w:hAnsi="宋体"/>
          <w:sz w:val="24"/>
          <w:highlight w:val="none"/>
          <w:lang w:eastAsia="zh-CN"/>
        </w:rPr>
        <w:t>可累计，累计最多不超过</w:t>
      </w:r>
      <w:r>
        <w:rPr>
          <w:rFonts w:hint="eastAsia" w:ascii="宋体" w:hAnsi="宋体"/>
          <w:sz w:val="24"/>
          <w:highlight w:val="none"/>
          <w:lang w:val="en-US" w:eastAsia="zh-CN"/>
        </w:rPr>
        <w:t>5分</w:t>
      </w:r>
      <w:r>
        <w:rPr>
          <w:rFonts w:hint="eastAsia" w:ascii="宋体" w:hAnsi="宋体"/>
          <w:sz w:val="24"/>
          <w:highlight w:val="none"/>
        </w:rPr>
        <w:t>。参加由辅导员组织参加的讲座者加分，每场0.3分，</w:t>
      </w:r>
      <w:r>
        <w:rPr>
          <w:rFonts w:hint="eastAsia" w:ascii="宋体" w:hAnsi="宋体"/>
          <w:sz w:val="24"/>
          <w:highlight w:val="none"/>
          <w:lang w:eastAsia="zh-CN"/>
        </w:rPr>
        <w:t>不设上限</w:t>
      </w:r>
      <w:r>
        <w:rPr>
          <w:rFonts w:hint="eastAsia" w:ascii="宋体" w:hAnsi="宋体"/>
          <w:sz w:val="24"/>
          <w:highlight w:val="none"/>
        </w:rPr>
        <w:t>。</w:t>
      </w:r>
    </w:p>
    <w:p>
      <w:pPr>
        <w:keepNext w:val="0"/>
        <w:keepLines w:val="0"/>
        <w:pageBreakBefore w:val="0"/>
        <w:kinsoku/>
        <w:wordWrap/>
        <w:overflowPunct/>
        <w:topLinePunct w:val="0"/>
        <w:autoSpaceDE/>
        <w:autoSpaceDN/>
        <w:bidi w:val="0"/>
        <w:adjustRightInd/>
        <w:snapToGrid/>
        <w:spacing w:line="400" w:lineRule="exact"/>
        <w:ind w:left="480"/>
        <w:textAlignment w:val="auto"/>
        <w:rPr>
          <w:rFonts w:hint="eastAsia" w:ascii="宋体" w:hAnsi="宋体"/>
          <w:sz w:val="24"/>
        </w:rPr>
      </w:pPr>
    </w:p>
    <w:p>
      <w:pPr>
        <w:keepNext w:val="0"/>
        <w:keepLines w:val="0"/>
        <w:pageBreakBefore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 xml:space="preserve">知识与技能加分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 xml:space="preserve">    本学年在知识和技能方面表现突出者，可按以下标准加分（同一项目同一学年获得两级或两级以上证书者，按最高分计一次，不累加）：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学年内获得普通话证书一级甲等、一级乙等、二级甲等者，分别加2分、1分、0.5分，以证书所印考试时间为是否属于学年内的依据；同一学年内先后获得普通话不同等级，不累加，只取最高加分项加分。本科期间多次参加普通话考试获得多次成绩的，只取一次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2、获得专业职业等级证书高级、中级、初级者，分别加6分、4分、2分，职业资格证书加2分（例如：教师资格证等）。同一学年内先后获得专业职业资格证书不同等级，不累加，只取最高加分项加分。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3、外语等级考试通过者，按如下标准加分，以成绩单或成绩截图所示考试时间作为是否属于学年内的依据；。同年度内同时通过四六级，可累加。本科期间多次参加四级考试获得多个成绩的，只取一次加。本科期间多次获得六级考试获得多个成绩的，只取一次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27"/>
        <w:gridCol w:w="1399"/>
        <w:gridCol w:w="121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308" w:type="dxa"/>
            <w:vMerge w:val="restart"/>
            <w:tcBorders>
              <w:left w:val="doub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kern w:val="0"/>
                <w:szCs w:val="21"/>
              </w:rPr>
              <w:t xml:space="preserve">    </w:t>
            </w:r>
            <w:r>
              <w:rPr>
                <w:rFonts w:hint="eastAsia" w:ascii="宋体" w:hAnsi="宋体"/>
                <w:b/>
                <w:kern w:val="0"/>
                <w:szCs w:val="21"/>
              </w:rPr>
              <w:t>类别</w:t>
            </w:r>
          </w:p>
          <w:p>
            <w:pPr>
              <w:keepNext w:val="0"/>
              <w:keepLines w:val="0"/>
              <w:pageBreakBefore w:val="0"/>
              <w:widowControl/>
              <w:kinsoku/>
              <w:wordWrap/>
              <w:overflowPunct/>
              <w:topLinePunct w:val="0"/>
              <w:autoSpaceDE/>
              <w:autoSpaceDN/>
              <w:bidi w:val="0"/>
              <w:adjustRightInd/>
              <w:snapToGrid/>
              <w:spacing w:line="400" w:lineRule="exact"/>
              <w:ind w:firstLine="105" w:firstLineChars="50"/>
              <w:textAlignment w:val="auto"/>
              <w:rPr>
                <w:rFonts w:ascii="宋体" w:hAnsi="宋体"/>
                <w:b/>
                <w:kern w:val="0"/>
                <w:szCs w:val="21"/>
              </w:rPr>
            </w:pPr>
          </w:p>
          <w:p>
            <w:pPr>
              <w:keepNext w:val="0"/>
              <w:keepLines w:val="0"/>
              <w:pageBreakBefore w:val="0"/>
              <w:widowControl/>
              <w:kinsoku/>
              <w:wordWrap/>
              <w:overflowPunct/>
              <w:topLinePunct w:val="0"/>
              <w:autoSpaceDE/>
              <w:autoSpaceDN/>
              <w:bidi w:val="0"/>
              <w:adjustRightInd/>
              <w:snapToGrid/>
              <w:spacing w:line="400" w:lineRule="exact"/>
              <w:ind w:firstLine="105" w:firstLineChars="50"/>
              <w:textAlignment w:val="auto"/>
              <w:rPr>
                <w:rFonts w:ascii="宋体" w:hAnsi="宋体"/>
                <w:kern w:val="0"/>
                <w:szCs w:val="21"/>
              </w:rPr>
            </w:pPr>
            <w:r>
              <w:rPr>
                <w:rFonts w:hint="eastAsia" w:ascii="宋体" w:hAnsi="宋体"/>
                <w:b/>
                <w:kern w:val="0"/>
                <w:szCs w:val="21"/>
              </w:rPr>
              <w:t xml:space="preserve">加分 </w:t>
            </w:r>
            <w:r>
              <w:rPr>
                <w:rFonts w:hint="eastAsia" w:ascii="宋体" w:hAnsi="宋体"/>
                <w:kern w:val="0"/>
                <w:szCs w:val="21"/>
              </w:rPr>
              <w:t xml:space="preserve"> </w:t>
            </w:r>
          </w:p>
        </w:tc>
        <w:tc>
          <w:tcPr>
            <w:tcW w:w="5473" w:type="dxa"/>
            <w:gridSpan w:val="4"/>
            <w:tcBorders>
              <w:top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外语本科专业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308"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14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专业四级</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（及格）</w:t>
            </w:r>
          </w:p>
        </w:tc>
        <w:tc>
          <w:tcPr>
            <w:tcW w:w="13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kern w:val="0"/>
                <w:szCs w:val="21"/>
              </w:rPr>
            </w:pPr>
            <w:r>
              <w:rPr>
                <w:rFonts w:hint="eastAsia" w:ascii="宋体" w:hAnsi="宋体"/>
                <w:kern w:val="0"/>
                <w:szCs w:val="21"/>
              </w:rPr>
              <w:t>专业四级</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（80分以上）</w:t>
            </w:r>
          </w:p>
        </w:tc>
        <w:tc>
          <w:tcPr>
            <w:tcW w:w="121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专业八级</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（及格）</w:t>
            </w:r>
          </w:p>
        </w:tc>
        <w:tc>
          <w:tcPr>
            <w:tcW w:w="1432" w:type="dxa"/>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专业八级</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（80分以上）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308"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加分值</w:t>
            </w:r>
          </w:p>
        </w:tc>
        <w:tc>
          <w:tcPr>
            <w:tcW w:w="14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13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121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1432" w:type="dxa"/>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308" w:type="dxa"/>
            <w:vMerge w:val="restart"/>
            <w:tcBorders>
              <w:left w:val="doub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kern w:val="0"/>
                <w:szCs w:val="21"/>
              </w:rPr>
              <w:t xml:space="preserve">    </w:t>
            </w:r>
            <w:r>
              <w:rPr>
                <w:rFonts w:hint="eastAsia" w:ascii="宋体" w:hAnsi="宋体"/>
                <w:b/>
                <w:kern w:val="0"/>
                <w:szCs w:val="21"/>
              </w:rPr>
              <w:t>类别</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b/>
                <w:kern w:val="0"/>
                <w:szCs w:val="21"/>
              </w:rPr>
              <w:t xml:space="preserve">加分   </w:t>
            </w:r>
            <w:r>
              <w:rPr>
                <w:rFonts w:hint="eastAsia" w:ascii="宋体" w:hAnsi="宋体"/>
                <w:kern w:val="0"/>
                <w:szCs w:val="21"/>
              </w:rPr>
              <w:t xml:space="preserve">  </w:t>
            </w:r>
          </w:p>
        </w:tc>
        <w:tc>
          <w:tcPr>
            <w:tcW w:w="5473" w:type="dxa"/>
            <w:gridSpan w:val="4"/>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非英语本科专业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308"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28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四级</w:t>
            </w:r>
          </w:p>
        </w:tc>
        <w:tc>
          <w:tcPr>
            <w:tcW w:w="264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308"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加分值</w:t>
            </w:r>
          </w:p>
        </w:tc>
        <w:tc>
          <w:tcPr>
            <w:tcW w:w="28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1.5</w:t>
            </w:r>
          </w:p>
        </w:tc>
        <w:tc>
          <w:tcPr>
            <w:tcW w:w="2647" w:type="dxa"/>
            <w:gridSpan w:val="2"/>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2.5</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4、计算机等级考试通过者，在通过学年按如下标准加分。一证书所印考试时间作为是否属于学年内的依据；同年度内同时通过计算机不同等级，不累加，只取最高值加分。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86"/>
        <w:gridCol w:w="38"/>
        <w:gridCol w:w="658"/>
        <w:gridCol w:w="69"/>
        <w:gridCol w:w="724"/>
        <w:gridCol w:w="49"/>
        <w:gridCol w:w="677"/>
        <w:gridCol w:w="25"/>
        <w:gridCol w:w="704"/>
        <w:gridCol w:w="702"/>
        <w:gridCol w:w="23"/>
        <w:gridCol w:w="678"/>
        <w:gridCol w:w="4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851" w:type="dxa"/>
            <w:tcBorders>
              <w:top w:val="double" w:color="auto" w:sz="4" w:space="0"/>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科别</w:t>
            </w:r>
          </w:p>
        </w:tc>
        <w:tc>
          <w:tcPr>
            <w:tcW w:w="5805" w:type="dxa"/>
            <w:gridSpan w:val="14"/>
            <w:tcBorders>
              <w:top w:val="doub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非计算机专业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51" w:type="dxa"/>
            <w:vMerge w:val="restart"/>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等级</w:t>
            </w:r>
          </w:p>
        </w:tc>
        <w:tc>
          <w:tcPr>
            <w:tcW w:w="1451"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一级</w:t>
            </w:r>
          </w:p>
        </w:tc>
        <w:tc>
          <w:tcPr>
            <w:tcW w:w="145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二级</w:t>
            </w:r>
          </w:p>
        </w:tc>
        <w:tc>
          <w:tcPr>
            <w:tcW w:w="1454"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三级</w:t>
            </w:r>
          </w:p>
        </w:tc>
        <w:tc>
          <w:tcPr>
            <w:tcW w:w="1450" w:type="dxa"/>
            <w:gridSpan w:val="3"/>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851"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2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6"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851"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加分值</w:t>
            </w: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w:t>
            </w:r>
          </w:p>
        </w:tc>
        <w:tc>
          <w:tcPr>
            <w:tcW w:w="72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2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2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c>
          <w:tcPr>
            <w:tcW w:w="726"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851"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科别</w:t>
            </w:r>
          </w:p>
        </w:tc>
        <w:tc>
          <w:tcPr>
            <w:tcW w:w="5805" w:type="dxa"/>
            <w:gridSpan w:val="14"/>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851" w:type="dxa"/>
            <w:vMerge w:val="restart"/>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等级</w:t>
            </w:r>
          </w:p>
        </w:tc>
        <w:tc>
          <w:tcPr>
            <w:tcW w:w="1382"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一级</w:t>
            </w:r>
          </w:p>
        </w:tc>
        <w:tc>
          <w:tcPr>
            <w:tcW w:w="1544" w:type="dxa"/>
            <w:gridSpan w:val="5"/>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二级</w:t>
            </w:r>
          </w:p>
        </w:tc>
        <w:tc>
          <w:tcPr>
            <w:tcW w:w="140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三级</w:t>
            </w:r>
          </w:p>
        </w:tc>
        <w:tc>
          <w:tcPr>
            <w:tcW w:w="1473" w:type="dxa"/>
            <w:gridSpan w:val="4"/>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51"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686"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69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842" w:type="dxa"/>
            <w:gridSpan w:val="3"/>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02"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04"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0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01"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72" w:type="dxa"/>
            <w:gridSpan w:val="2"/>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51"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加分值</w:t>
            </w:r>
          </w:p>
        </w:tc>
        <w:tc>
          <w:tcPr>
            <w:tcW w:w="686"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0</w:t>
            </w:r>
          </w:p>
        </w:tc>
        <w:tc>
          <w:tcPr>
            <w:tcW w:w="69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w:t>
            </w:r>
          </w:p>
        </w:tc>
        <w:tc>
          <w:tcPr>
            <w:tcW w:w="842" w:type="dxa"/>
            <w:gridSpan w:val="3"/>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w:t>
            </w:r>
          </w:p>
        </w:tc>
        <w:tc>
          <w:tcPr>
            <w:tcW w:w="702"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04"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0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01"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72" w:type="dxa"/>
            <w:gridSpan w:val="2"/>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5、科技竞赛、学术研究或科技创新成果获奖：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w:t>
      </w:r>
      <w:r>
        <w:rPr>
          <w:rFonts w:cs="Calibri"/>
          <w:sz w:val="24"/>
        </w:rPr>
        <w:t>①</w:t>
      </w:r>
      <w:r>
        <w:rPr>
          <w:rFonts w:hint="eastAsia" w:ascii="宋体" w:hAnsi="宋体"/>
          <w:sz w:val="24"/>
        </w:rPr>
        <w:t>本学年（202</w:t>
      </w:r>
      <w:r>
        <w:rPr>
          <w:rFonts w:hint="eastAsia" w:ascii="宋体" w:hAnsi="宋体"/>
          <w:sz w:val="24"/>
          <w:lang w:val="en-US" w:eastAsia="zh-CN"/>
        </w:rPr>
        <w:t>1</w:t>
      </w:r>
      <w:r>
        <w:rPr>
          <w:rFonts w:hint="eastAsia" w:ascii="宋体" w:hAnsi="宋体"/>
          <w:sz w:val="24"/>
        </w:rPr>
        <w:t>年9月1日至202</w:t>
      </w:r>
      <w:r>
        <w:rPr>
          <w:rFonts w:hint="eastAsia" w:ascii="宋体" w:hAnsi="宋体"/>
          <w:sz w:val="24"/>
          <w:lang w:val="en-US" w:eastAsia="zh-CN"/>
        </w:rPr>
        <w:t>2</w:t>
      </w:r>
      <w:r>
        <w:rPr>
          <w:rFonts w:hint="eastAsia" w:ascii="宋体" w:hAnsi="宋体"/>
          <w:sz w:val="24"/>
        </w:rPr>
        <w:t>年8月31日）在各级科技竞赛、学术研究或科技创新成果展示中获奖；</w:t>
      </w:r>
      <w:r>
        <w:rPr>
          <w:rFonts w:cs="Calibri"/>
          <w:sz w:val="24"/>
        </w:rPr>
        <w:t>②</w:t>
      </w:r>
      <w:r>
        <w:rPr>
          <w:rFonts w:hint="eastAsia" w:ascii="宋体" w:hAnsi="宋体"/>
          <w:sz w:val="24"/>
        </w:rPr>
        <w:t>举办方为：党政机关、事业单位和官方认定的协会；</w:t>
      </w:r>
      <w:r>
        <w:rPr>
          <w:rFonts w:cs="Calibri"/>
          <w:sz w:val="24"/>
        </w:rPr>
        <w:t>③</w:t>
      </w:r>
      <w:r>
        <w:rPr>
          <w:rFonts w:hint="eastAsia" w:ascii="宋体" w:hAnsi="宋体"/>
          <w:sz w:val="24"/>
        </w:rPr>
        <w:t>网上答题竞赛等活动</w:t>
      </w:r>
      <w:r>
        <w:rPr>
          <w:rFonts w:hint="eastAsia" w:ascii="宋体" w:hAnsi="宋体"/>
          <w:sz w:val="24"/>
          <w:lang w:eastAsia="zh-CN"/>
        </w:rPr>
        <w:t>，除学校、院系组织参与外，其他</w:t>
      </w:r>
      <w:r>
        <w:rPr>
          <w:rFonts w:hint="eastAsia" w:ascii="宋体" w:hAnsi="宋体"/>
          <w:sz w:val="24"/>
        </w:rPr>
        <w:t>不在计分范围。具体加分如下：</w:t>
      </w:r>
    </w:p>
    <w:tbl>
      <w:tblPr>
        <w:tblStyle w:val="6"/>
        <w:tblW w:w="8698" w:type="dxa"/>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452"/>
        <w:gridCol w:w="1215"/>
        <w:gridCol w:w="1455"/>
        <w:gridCol w:w="1170"/>
        <w:gridCol w:w="240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700" w:hRule="atLeast"/>
          <w:jc w:val="center"/>
        </w:trPr>
        <w:tc>
          <w:tcPr>
            <w:tcW w:w="2452"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等级</w:t>
            </w:r>
          </w:p>
        </w:tc>
        <w:tc>
          <w:tcPr>
            <w:tcW w:w="121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一等奖</w:t>
            </w:r>
          </w:p>
        </w:tc>
        <w:tc>
          <w:tcPr>
            <w:tcW w:w="145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二等奖</w:t>
            </w:r>
          </w:p>
        </w:tc>
        <w:tc>
          <w:tcPr>
            <w:tcW w:w="11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三等奖</w:t>
            </w:r>
          </w:p>
        </w:tc>
        <w:tc>
          <w:tcPr>
            <w:tcW w:w="2406"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b/>
                <w:sz w:val="24"/>
              </w:rPr>
            </w:pPr>
            <w:r>
              <w:rPr>
                <w:rFonts w:hint="eastAsia" w:ascii="宋体" w:hAnsi="宋体"/>
                <w:b/>
                <w:sz w:val="24"/>
              </w:rPr>
              <w:t>其他奖（优秀奖、入围奖等）</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53"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国家级及以上</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10</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53"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省部级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68"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市厅级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53"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校级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79"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院系级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（2）参加同一竞赛或科研活动获多项奖的按最高项计分一次，不累加</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3）评奖不分等级时按三等奖加分。奖项若以名次计，第1名按一等奖加分，第2、3名按二等奖加分，第4名及以后按三等奖加分；奖项若以取前三名或金、银、铜奖计，则分别按一、二、三等奖加分；奖项若设有特等奖，可在一等奖分值基础上加1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rPr>
        <w:t>（4）一项成果由多人共同完成的，署名第一的作者按相应级别加分，署名第二的作者按第一作者的加分值减1分加分，其余者按第一作者的加分值减2分加分</w:t>
      </w:r>
      <w:r>
        <w:rPr>
          <w:rFonts w:hint="eastAsia" w:ascii="宋体" w:hAnsi="宋体"/>
          <w:sz w:val="24"/>
          <w:highlight w:val="none"/>
          <w:lang w:eastAsia="zh-CN"/>
        </w:rPr>
        <w:t>（注：若递减分数为</w:t>
      </w:r>
      <w:r>
        <w:rPr>
          <w:rFonts w:hint="eastAsia" w:ascii="宋体" w:hAnsi="宋体"/>
          <w:sz w:val="24"/>
          <w:highlight w:val="none"/>
          <w:lang w:val="en-US" w:eastAsia="zh-CN"/>
        </w:rPr>
        <w:t>0，按参与者加分，加0.5分）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（5）学生拥有科研成果或研制出科研产品，经两名以上专家、教授推荐并通过学院主管部门审定，可适当加分，加分不超过12分；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（6）学生撰写的调查报告被政府机关、事业单位或学校采用，由该单位出具采用证明，按院级其他奖加分。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（7）为促进我院学生专业素质的良好发展，对于全国大学生广告艺术大赛（大广赛）和中国大学生广告艺术节学院奖（学院奖、大广节）的具体评分如下：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在省级赛区获得全国大学生广告艺术大赛（大广赛）个人单项奖的按照省级科学技术类竞赛奖项加分，在国家级赛区获得全国大学生广告艺术大赛（大广赛）个人单项奖的按照国家级科学技术类竞赛奖项加分；在省级赛区获得全国大学生广告艺术大赛（大广赛）团体单项奖的按照市级科学技术类竞赛奖项加分，在国家级赛区获得全国大学生广告艺术大赛（大广赛）团体单项奖的按照省级科学技术类竞赛奖项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在由中国广告协会和广告人文化集团主办的中国大学生广告艺术节学院奖（学院奖、大广节）中获得个人单项奖的按照国家级科学技术竞赛奖项加分，在由中国广告协会和广告人文化集团主办的中国大学生广告艺术节学院奖（学院奖、大广节）中获得团体单项奖的按照省级科学技术竞赛奖项加分；在产品、企业专属的中国大学生广告艺术节学院奖（学院奖、大广节）中获得个人单项奖的按照省级科学技术竞赛奖项加分，在产品、企业专属的中国大学生广告艺术节学院奖（学院奖、大广节）中获得团体单项奖的按照市级科学技术竞赛奖项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注：同作者同作品不同比赛中获得的奖项不累计加分，取高分值。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（8）参加文学与传媒学院实践课程展演者，以下表格加分：</w:t>
      </w:r>
    </w:p>
    <w:tbl>
      <w:tblPr>
        <w:tblStyle w:val="6"/>
        <w:tblW w:w="0" w:type="auto"/>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1843"/>
        <w:gridCol w:w="1933"/>
        <w:gridCol w:w="1719"/>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88" w:hRule="atLeast"/>
          <w:jc w:val="center"/>
        </w:trPr>
        <w:tc>
          <w:tcPr>
            <w:tcW w:w="1843"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优</w:t>
            </w:r>
          </w:p>
        </w:tc>
        <w:tc>
          <w:tcPr>
            <w:tcW w:w="1933"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良</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77" w:hRule="atLeast"/>
          <w:jc w:val="center"/>
        </w:trPr>
        <w:tc>
          <w:tcPr>
            <w:tcW w:w="184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93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71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tbl>
    <w:p>
      <w:pPr>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宋体" w:hAnsi="宋体"/>
          <w:sz w:val="24"/>
        </w:rPr>
      </w:pPr>
      <w:r>
        <w:rPr>
          <w:rFonts w:hint="eastAsia" w:ascii="宋体" w:hAnsi="宋体"/>
          <w:sz w:val="24"/>
        </w:rPr>
        <w:t>6、发表专业学术论文或文章。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（1）在国家正式刊物上发表专业学术论文者，按如下标准加分：</w:t>
      </w:r>
    </w:p>
    <w:tbl>
      <w:tblPr>
        <w:tblStyle w:val="6"/>
        <w:tblW w:w="8497" w:type="dxa"/>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1582"/>
        <w:gridCol w:w="2105"/>
        <w:gridCol w:w="1605"/>
        <w:gridCol w:w="1649"/>
        <w:gridCol w:w="155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67" w:hRule="atLeast"/>
          <w:jc w:val="center"/>
        </w:trPr>
        <w:tc>
          <w:tcPr>
            <w:tcW w:w="1582"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
                <w:sz w:val="24"/>
                <w:lang w:eastAsia="zh-CN"/>
              </w:rPr>
            </w:pPr>
            <w:r>
              <w:rPr>
                <w:rFonts w:hint="eastAsia" w:ascii="宋体" w:hAnsi="宋体"/>
                <w:b/>
                <w:sz w:val="24"/>
                <w:lang w:eastAsia="zh-CN"/>
              </w:rPr>
              <w:t>分类</w:t>
            </w:r>
          </w:p>
        </w:tc>
        <w:tc>
          <w:tcPr>
            <w:tcW w:w="210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
                <w:sz w:val="24"/>
                <w:lang w:eastAsia="zh-CN"/>
              </w:rPr>
            </w:pPr>
            <w:r>
              <w:rPr>
                <w:rFonts w:hint="eastAsia" w:ascii="宋体" w:hAnsi="宋体"/>
                <w:b/>
                <w:sz w:val="24"/>
                <w:lang w:eastAsia="zh-CN"/>
              </w:rPr>
              <w:t>等级</w:t>
            </w:r>
          </w:p>
        </w:tc>
        <w:tc>
          <w:tcPr>
            <w:tcW w:w="160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第1-2作者</w:t>
            </w:r>
          </w:p>
        </w:tc>
        <w:tc>
          <w:tcPr>
            <w:tcW w:w="164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第3-4作者</w:t>
            </w:r>
          </w:p>
        </w:tc>
        <w:tc>
          <w:tcPr>
            <w:tcW w:w="1556"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第5-8作者</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84" w:hRule="atLeast"/>
          <w:jc w:val="center"/>
        </w:trPr>
        <w:tc>
          <w:tcPr>
            <w:tcW w:w="158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hint="eastAsia" w:ascii="宋体" w:hAnsi="宋体"/>
                <w:sz w:val="24"/>
                <w:lang w:eastAsia="zh-CN"/>
              </w:rPr>
              <w:t>境内（外）</w:t>
            </w:r>
          </w:p>
        </w:tc>
        <w:tc>
          <w:tcPr>
            <w:tcW w:w="2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一</w:t>
            </w:r>
            <w:r>
              <w:rPr>
                <w:rFonts w:hint="eastAsia" w:ascii="宋体" w:hAnsi="宋体"/>
                <w:sz w:val="24"/>
                <w:lang w:val="en-US" w:eastAsia="zh-CN"/>
              </w:rPr>
              <w:t>A期刊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6</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5</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67" w:hRule="atLeast"/>
          <w:jc w:val="center"/>
        </w:trPr>
        <w:tc>
          <w:tcPr>
            <w:tcW w:w="15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tc>
        <w:tc>
          <w:tcPr>
            <w:tcW w:w="2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一</w:t>
            </w:r>
            <w:r>
              <w:rPr>
                <w:rFonts w:hint="eastAsia" w:ascii="宋体" w:hAnsi="宋体"/>
                <w:sz w:val="24"/>
                <w:lang w:val="en-US" w:eastAsia="zh-CN"/>
              </w:rPr>
              <w:t>B期刊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5</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4</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54" w:hRule="atLeast"/>
          <w:jc w:val="center"/>
        </w:trPr>
        <w:tc>
          <w:tcPr>
            <w:tcW w:w="15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tc>
        <w:tc>
          <w:tcPr>
            <w:tcW w:w="2105" w:type="dxa"/>
            <w:tcBorders>
              <w:left w:val="single" w:color="auto" w:sz="4" w:space="0"/>
              <w:right w:val="single" w:color="auto" w:sz="4" w:space="0"/>
            </w:tcBorders>
            <w:noWrap w:val="0"/>
            <w:vAlign w:val="center"/>
          </w:tcPr>
          <w:p>
            <w:pPr>
              <w:keepNext w:val="0"/>
              <w:keepLines w:val="0"/>
              <w:pageBreakBefore w:val="0"/>
              <w:tabs>
                <w:tab w:val="left" w:pos="554"/>
              </w:tabs>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二</w:t>
            </w:r>
            <w:r>
              <w:rPr>
                <w:rFonts w:hint="eastAsia" w:ascii="宋体" w:hAnsi="宋体"/>
                <w:sz w:val="24"/>
                <w:lang w:val="en-US" w:eastAsia="zh-CN"/>
              </w:rPr>
              <w:t>A期刊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4</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46" w:hRule="atLeast"/>
          <w:jc w:val="center"/>
        </w:trPr>
        <w:tc>
          <w:tcPr>
            <w:tcW w:w="15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tc>
        <w:tc>
          <w:tcPr>
            <w:tcW w:w="2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二</w:t>
            </w:r>
            <w:r>
              <w:rPr>
                <w:rFonts w:hint="eastAsia" w:ascii="宋体" w:hAnsi="宋体"/>
                <w:sz w:val="24"/>
                <w:lang w:val="en-US" w:eastAsia="zh-CN"/>
              </w:rPr>
              <w:t>B期刊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（2）发表期刊等级以</w:t>
      </w:r>
      <w:r>
        <w:rPr>
          <w:rFonts w:hint="eastAsia" w:ascii="宋体" w:hAnsi="宋体"/>
          <w:sz w:val="24"/>
          <w:lang w:eastAsia="zh-CN"/>
        </w:rPr>
        <w:t>学校期刊目录</w:t>
      </w:r>
      <w:r>
        <w:rPr>
          <w:rFonts w:hint="eastAsia" w:ascii="宋体" w:hAnsi="宋体"/>
          <w:sz w:val="24"/>
        </w:rPr>
        <w:t>为标准</w:t>
      </w:r>
      <w:r>
        <w:rPr>
          <w:rFonts w:hint="eastAsia" w:ascii="宋体" w:hAnsi="宋体"/>
          <w:sz w:val="24"/>
          <w:lang w:eastAsia="zh-CN"/>
        </w:rPr>
        <w:t>，详见附件。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（3）在国家级、省级、市级、校级正式出版物上发表文章但并未评奖，第一作者可分别加6分、4分、3分；一篇文章署名多位作者，第一作者按相应级别加分，其余作者加分以署名的前后排序依次递减 1 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（4）在省级正式刊物上发表文章的，每篇文章第一作者加 2 分，第二作者及后面作者加1分。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5</w:t>
      </w:r>
      <w:r>
        <w:rPr>
          <w:rFonts w:hint="eastAsia" w:ascii="宋体" w:hAnsi="宋体"/>
          <w:sz w:val="24"/>
        </w:rPr>
        <w:t>）在《</w:t>
      </w:r>
      <w:r>
        <w:rPr>
          <w:rFonts w:hint="eastAsia" w:ascii="宋体" w:hAnsi="宋体"/>
          <w:sz w:val="24"/>
          <w:lang w:eastAsia="zh-CN"/>
        </w:rPr>
        <w:t>广州</w:t>
      </w:r>
      <w:r>
        <w:rPr>
          <w:rFonts w:hint="eastAsia" w:ascii="宋体" w:hAnsi="宋体"/>
          <w:sz w:val="24"/>
        </w:rPr>
        <w:t>南方学院院报》、《南方论丛》（之后新增校级刊物以学校认定为准）这两种校级报刊上发表文章（注：非新闻类作品）的，每篇文章第一作者加0.5分，第二作者及后面作者不加分。在院级刊物如《文荃》、《蓝鸟》等发表的诗文类作品上发表文章的，每篇文章第一作者加0.3分，第二作者及后面作者不加分</w:t>
      </w:r>
      <w:r>
        <w:rPr>
          <w:rFonts w:hint="eastAsia" w:ascii="宋体" w:hAnsi="宋体"/>
          <w:sz w:val="24"/>
          <w:highlight w:val="none"/>
          <w:lang w:eastAsia="zh-CN"/>
        </w:rPr>
        <w:t>（注：工作职责范围内除外）。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在校外知名刊物（需有出版号）、网站（网页）或其它媒体上发表的诗文类作品、新闻报道（经综合素质测评工作小组审核，无政治及其它争议问题的），每篇第一作者加0.3分，其余作者和新闻报道作者加0.1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highlight w:val="none"/>
        </w:rPr>
      </w:pPr>
      <w:r>
        <w:rPr>
          <w:rFonts w:hint="eastAsia" w:ascii="宋体" w:hAnsi="宋体"/>
          <w:sz w:val="24"/>
        </w:rPr>
        <w:t>（</w:t>
      </w:r>
      <w:r>
        <w:rPr>
          <w:rFonts w:hint="eastAsia" w:ascii="宋体" w:hAnsi="宋体"/>
          <w:sz w:val="24"/>
          <w:lang w:val="en-US" w:eastAsia="zh-CN"/>
        </w:rPr>
        <w:t>7</w:t>
      </w:r>
      <w:r>
        <w:rPr>
          <w:rFonts w:hint="eastAsia" w:ascii="宋体" w:hAnsi="宋体"/>
          <w:sz w:val="24"/>
        </w:rPr>
        <w:t>）摄影作品被刊登或使用，发表新闻图片或新闻稿件编辑（署名），每幅（篇）加0.2分，累计不超过2分；若同一则新闻即使用了同一作者的文字和摄影作品，不累计加分，取最高值加分</w:t>
      </w:r>
      <w:r>
        <w:rPr>
          <w:rFonts w:hint="eastAsia" w:ascii="宋体" w:hAnsi="宋体"/>
          <w:sz w:val="24"/>
          <w:highlight w:val="none"/>
          <w:lang w:eastAsia="zh-CN"/>
        </w:rPr>
        <w:t>（注：工作职责范围内除外）</w:t>
      </w:r>
      <w:r>
        <w:rPr>
          <w:rFonts w:hint="eastAsia" w:ascii="宋体" w:hAnsi="宋体"/>
          <w:sz w:val="24"/>
          <w:highlight w:val="none"/>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ascii="宋体" w:hAnsi="宋体"/>
          <w:sz w:val="24"/>
        </w:rPr>
        <w:t>同一篇</w:t>
      </w:r>
      <w:r>
        <w:rPr>
          <w:rFonts w:hint="eastAsia" w:ascii="宋体" w:hAnsi="宋体"/>
          <w:sz w:val="24"/>
        </w:rPr>
        <w:t>诗文类作品、新闻</w:t>
      </w:r>
      <w:r>
        <w:rPr>
          <w:rFonts w:ascii="宋体" w:hAnsi="宋体"/>
          <w:sz w:val="24"/>
        </w:rPr>
        <w:t>报道</w:t>
      </w:r>
      <w:r>
        <w:rPr>
          <w:rFonts w:hint="eastAsia" w:ascii="宋体" w:hAnsi="宋体"/>
          <w:sz w:val="24"/>
        </w:rPr>
        <w:t>、摄影作品</w:t>
      </w:r>
      <w:r>
        <w:rPr>
          <w:rFonts w:ascii="宋体" w:hAnsi="宋体"/>
          <w:sz w:val="24"/>
        </w:rPr>
        <w:t>发表在不同</w:t>
      </w:r>
      <w:r>
        <w:rPr>
          <w:rFonts w:hint="eastAsia" w:ascii="宋体" w:hAnsi="宋体"/>
          <w:sz w:val="24"/>
        </w:rPr>
        <w:t>刊物、</w:t>
      </w:r>
      <w:r>
        <w:rPr>
          <w:rFonts w:ascii="宋体" w:hAnsi="宋体"/>
          <w:sz w:val="24"/>
        </w:rPr>
        <w:t>媒体的，按最高分值加分，不重复加分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）在校内刊物和校外知名刊物（需有出版号）、网站（网页）发表的诗文类作品、新闻报道，累计加分不超过6篇（校外公开发表在学术刊物上的除外）（即符合本款第4条跟第5条的加分累计不超过6篇）。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）发表了专业学术论文或文章，同时又获得竞赛类名次评定的，按照单次最高奖项加分，不累加。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（五）日常操行减分项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凡有下列情形之一者，在综合测评中给予相应扣分：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1、本学年度，学生违反校纪校规：受到留校察看处分的，扣10分；受到记过处分的，扣8分；受到严重警告，扣6分；受到警告等处分，扣4分；受到通报批评的，扣3分。累计扣分；（此名单由各年级辅导员提供）</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2、本学年度在院系级文明宿舍评比中，宿舍卫生被评为不合格者，宿舍成员扣1分/次·人,舍长扣2分；在学院文明宿舍评比中，宿舍卫生被评为不合格者，宿舍成员扣2分/次·人，舍长扣3分；（此名单由学生会生活部以及各年级辅导员提供）</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3、违反学校宿舍管理及其他规章制度（如晚归、酗酒等），尚不够纪律处分的，扣1分/次，且累计扣分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4、凡不遵守学习（课堂）纪律，扰乱课堂秩序扣3分/节（2课时），旷课扣2分/节（2课时），迟到、早退扣0.5分/次，迟到、早退三次按旷课一节（2课时）计，且累计扣分；此名单由学生会学习部以及各班级学委提供</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5、无故缺席学校、院系、班级组织的活动，扣0.5分/次，且累计扣分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6、有失社会公德、扰乱公共秩序、违背校园文明的言行，不听教职工或管理人员劝阻，尚不够纪律处分的，扣2分/次，且累计扣分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7、不讲诚信，通过提供虚假信息或者其他造假行为为自己谋利的，一经查实，扣5分/次，且累计扣分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8、学期开学，无故不按照学校规定时间返校报到、注册或办理相关手续，受院系以上通报批评者，扣3分/次，且累计扣分。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9、参加传销、法轮功等活动者，尚不构成处分的，视情节轻重扣2-4分。</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三、学业能力测评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（一）学业能力测评分的计算办法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学业能力测评分（即学业成绩）以教务处公布的本学年度学生科目成绩为基准，根据学生实际考分和相应学分按下面公式计算：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40640</wp:posOffset>
                </wp:positionV>
                <wp:extent cx="1939925" cy="8915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39925" cy="891540"/>
                        </a:xfrm>
                        <a:prstGeom prst="rect">
                          <a:avLst/>
                        </a:prstGeom>
                        <a:noFill/>
                        <a:ln>
                          <a:noFill/>
                        </a:ln>
                      </wps:spPr>
                      <wps:txbx>
                        <w:txbxContent>
                          <w:p>
                            <w:pPr>
                              <w:rPr>
                                <w:rFonts w:hint="eastAsia" w:ascii="仿宋_GB2312" w:eastAsia="仿宋_GB2312"/>
                                <w:sz w:val="24"/>
                              </w:rPr>
                            </w:pPr>
                            <w:r>
                              <w:rPr>
                                <w:rFonts w:hint="eastAsia" w:ascii="仿宋_GB2312" w:eastAsia="仿宋_GB2312"/>
                                <w:sz w:val="24"/>
                              </w:rPr>
                              <w:t>∑（科目成绩×科目学分）</w:t>
                            </w:r>
                          </w:p>
                        </w:txbxContent>
                      </wps:txbx>
                      <wps:bodyPr upright="1"/>
                    </wps:wsp>
                  </a:graphicData>
                </a:graphic>
              </wp:anchor>
            </w:drawing>
          </mc:Choice>
          <mc:Fallback>
            <w:pict>
              <v:shape id="_x0000_s1026" o:spid="_x0000_s1026" o:spt="202" type="#_x0000_t202" style="position:absolute;left:0pt;margin-left:108pt;margin-top:3.2pt;height:70.2pt;width:152.75pt;z-index:251659264;mso-width-relative:page;mso-height-relative:page;" filled="f" stroked="f" coordsize="21600,21600" o:gfxdata="UEsDBAoAAAAAAIdO4kAAAAAAAAAAAAAAAAAEAAAAZHJzL1BLAwQUAAAACACHTuJAtGHN99cAAAAJ&#10;AQAADwAAAGRycy9kb3ducmV2LnhtbE2PzU7DMBCE70i8g7VIvVE7URKVEKcHENdWlB+Jmxtvk4h4&#10;HcVuk749ywmOoxnNfFNtFzeIC06h96QhWSsQSI23PbUa3t9e7jcgQjRkzeAJNVwxwLa+valMaf1M&#10;r3g5xFZwCYXSaOhiHEspQ9OhM2HtRyT2Tn5yJrKcWmknM3O5G2SqVCGd6YkXOjPiU4fN9+HsNHzs&#10;Tl+fmdq3zy4fZ78oSe5Bar26S9QjiIhL/AvDLz6jQ81MR38mG8SgIU0K/hI1FBkI9vM0yUEcOZgV&#10;G5B1Jf8/qH8AUEsDBBQAAAAIAIdO4kA6SjtjrwEAAE4DAAAOAAAAZHJzL2Uyb0RvYy54bWytU0tu&#10;2zAQ3RfoHQjua/qTFLFgOUBgJJsiLZD2ADRFWQRIDsGhLfkCzQ266qb7nsvn6JB2nDbdZJENRc48&#10;vpn3hlpcD86ynY5owNd8Mhpzpr2CxvhNzb99vf1wxRkm6Rtpweua7zXy6+X7d4s+VHoKHdhGR0Yk&#10;Hqs+1LxLKVRCoOq0kziCoD0lW4hOJjrGjWii7IndWTEdjz+KHmITIiiNSNHVMclPjPE1hNC2RukV&#10;qK3TPh1Zo7YykSTsTEC+LN22rVbpc9uiTszWnJSmslIR2q/zKpYLWW2iDJ1Rpxbka1p4oclJ46no&#10;mWolk2TbaP6jckZFQGjTSIETRyHFEVIxGb/w5qGTQRctZDWGs+n4drTqfvclMtPUfMaZl44Gfvjx&#10;ePj5+/DrO5tle/qAFaEeAuHScAMDPZqnOFIwqx7a6PKX9DDKk7n7s7l6SEzlS/PZfD695ExR7mo+&#10;ubwo7ovn2yFiutPgWN7UPNLwiqdy9wkTdULQJ0gu5uHWWFsGaP0/AQLmiMitH1vMuzSsh5OeNTR7&#10;krMN0Ww6KlUEFTjZXAqdnkSe49/nQvr8G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RhzffX&#10;AAAACQEAAA8AAAAAAAAAAQAgAAAAIgAAAGRycy9kb3ducmV2LnhtbFBLAQIUABQAAAAIAIdO4kA6&#10;SjtjrwEAAE4DAAAOAAAAAAAAAAEAIAAAACYBAABkcnMvZTJvRG9jLnhtbFBLBQYAAAAABgAGAFkB&#10;AABHBQAAAAA=&#10;">
                <v:fill on="f" focussize="0,0"/>
                <v:stroke on="f"/>
                <v:imagedata o:title=""/>
                <o:lock v:ext="edit" aspectratio="f"/>
                <v:textbox>
                  <w:txbxContent>
                    <w:p>
                      <w:pPr>
                        <w:rPr>
                          <w:rFonts w:hint="eastAsia" w:ascii="仿宋_GB2312" w:eastAsia="仿宋_GB2312"/>
                          <w:sz w:val="24"/>
                        </w:rPr>
                      </w:pPr>
                      <w:r>
                        <w:rPr>
                          <w:rFonts w:hint="eastAsia" w:ascii="仿宋_GB2312" w:eastAsia="仿宋_GB2312"/>
                          <w:sz w:val="24"/>
                        </w:rPr>
                        <w:t>∑（科目成绩×科目学分）</w:t>
                      </w:r>
                    </w:p>
                  </w:txbxContent>
                </v:textbox>
              </v:shape>
            </w:pict>
          </mc:Fallback>
        </mc:AlternateContent>
      </w:r>
    </w:p>
    <w:p>
      <w:pPr>
        <w:keepNext w:val="0"/>
        <w:keepLines w:val="0"/>
        <w:pageBreakBefore w:val="0"/>
        <w:kinsoku/>
        <w:wordWrap/>
        <w:overflowPunct/>
        <w:topLinePunct w:val="0"/>
        <w:autoSpaceDE/>
        <w:autoSpaceDN/>
        <w:bidi w:val="0"/>
        <w:adjustRightInd/>
        <w:snapToGrid/>
        <w:spacing w:line="400" w:lineRule="exact"/>
        <w:ind w:firstLine="840" w:firstLineChars="350"/>
        <w:textAlignment w:val="auto"/>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154940</wp:posOffset>
                </wp:positionV>
                <wp:extent cx="2171700" cy="424180"/>
                <wp:effectExtent l="0" t="0" r="0" b="13970"/>
                <wp:wrapNone/>
                <wp:docPr id="1" name="文本框 1"/>
                <wp:cNvGraphicFramePr/>
                <a:graphic xmlns:a="http://schemas.openxmlformats.org/drawingml/2006/main">
                  <a:graphicData uri="http://schemas.microsoft.com/office/word/2010/wordprocessingShape">
                    <wps:wsp>
                      <wps:cNvSpPr txBox="1"/>
                      <wps:spPr>
                        <a:xfrm>
                          <a:off x="0" y="0"/>
                          <a:ext cx="2171700" cy="424180"/>
                        </a:xfrm>
                        <a:prstGeom prst="rect">
                          <a:avLst/>
                        </a:prstGeom>
                        <a:solidFill>
                          <a:srgbClr val="FFFFFF"/>
                        </a:solidFill>
                        <a:ln>
                          <a:noFill/>
                        </a:ln>
                      </wps:spPr>
                      <wps:txbx>
                        <w:txbxContent>
                          <w:p>
                            <w:pPr>
                              <w:ind w:firstLine="600" w:firstLineChars="250"/>
                              <w:rPr>
                                <w:rFonts w:hint="eastAsia" w:ascii="仿宋_GB2312" w:eastAsia="仿宋_GB2312"/>
                                <w:sz w:val="24"/>
                              </w:rPr>
                            </w:pPr>
                            <w:r>
                              <w:rPr>
                                <w:rFonts w:hint="eastAsia" w:ascii="仿宋_GB2312" w:eastAsia="仿宋_GB2312"/>
                                <w:sz w:val="24"/>
                              </w:rPr>
                              <w:t>本学年度总学分</w:t>
                            </w:r>
                          </w:p>
                        </w:txbxContent>
                      </wps:txbx>
                      <wps:bodyPr upright="1"/>
                    </wps:wsp>
                  </a:graphicData>
                </a:graphic>
              </wp:anchor>
            </w:drawing>
          </mc:Choice>
          <mc:Fallback>
            <w:pict>
              <v:shape id="_x0000_s1026" o:spid="_x0000_s1026" o:spt="202" type="#_x0000_t202" style="position:absolute;left:0pt;margin-left:99pt;margin-top:12.2pt;height:33.4pt;width:171pt;z-index:251660288;mso-width-relative:page;mso-height-relative:page;" fillcolor="#FFFFFF" filled="t" stroked="f" coordsize="21600,21600" o:gfxdata="UEsDBAoAAAAAAIdO4kAAAAAAAAAAAAAAAAAEAAAAZHJzL1BLAwQUAAAACACHTuJAM8tTVNcAAAAJ&#10;AQAADwAAAGRycy9kb3ducmV2LnhtbE2PzU7DMBCE70i8g7VIXBC1E6U/SeNUAgnEtaUPsIm3SdTY&#10;jmK3ad+e5QTHmR3NflPubnYQV5pC752GZKFAkGu86V2r4fj98boBESI6g4N3pOFOAXbV40OJhfGz&#10;29P1EFvBJS4UqKGLcSykDE1HFsPCj+T4dvKTxchyaqWZcOZyO8hUqZW02Dv+0OFI7x0158PFajh9&#10;zS/LfK4/43G9z1Zv2K9rf9f6+SlRWxCRbvEvDL/4jA4VM9X+4kwQA+t8w1uihjTLQHBgmSk2ag15&#10;koKsSvl/QfUDUEsDBBQAAAAIAIdO4kDJ/i/dwQEAAHcDAAAOAAAAZHJzL2Uyb0RvYy54bWytU8GO&#10;0zAQvSPxD5bvNEm1YldV05V2q3JBgLTwAa7jJJZsj+Vxm/QH4A84ceHOd/U7GDvZLiyXPZBDYs88&#10;v5n3xlnfjtawowqowdW8WpScKSeh0a6r+ZfPuzc3nGEUrhEGnKr5SSG/3bx+tR78Si2hB9OowIjE&#10;4WrwNe9j9KuiQNkrK3ABXjlKthCsiLQNXdEEMRC7NcWyLN8WA4TGB5AKkaLbKclnxvASQmhbLdUW&#10;5MEqFyfWoIyIJAl77ZFvcrdtq2T82LaoIjM1J6Uxv6kIrffpXWzWYtUF4Xst5xbES1p4pskK7ajo&#10;hWoromCHoP+hsloGQGjjQoItJiHZEVJRlc+8eeiFV1kLWY3+Yjr+P1r54fgpMN3QTeDMCUsDP3//&#10;dv7x6/zzK6uSPYPHFaEePOHieAdjgs5xpGBSPbbBpi/pYZQnc08Xc9UYmaTgsrqurktKScpdLa+q&#10;m+x+8XTaB4zvFFiWFjUPNLzsqTi+x0gVCfoIScUQjG522pi8Cd3+3gR2FDToXX5Sk3TkL5hxCewg&#10;HZvSKVIkjZOWtIrjfpwF7qE5ke6DD7rrqaesPMNpHpl+vjtp4H/uM+nT/7L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PLU1TXAAAACQEAAA8AAAAAAAAAAQAgAAAAIgAAAGRycy9kb3ducmV2Lnht&#10;bFBLAQIUABQAAAAIAIdO4kDJ/i/dwQEAAHcDAAAOAAAAAAAAAAEAIAAAACYBAABkcnMvZTJvRG9j&#10;LnhtbFBLBQYAAAAABgAGAFkBAABZBQAAAAA=&#10;">
                <v:fill on="t" focussize="0,0"/>
                <v:stroke on="f"/>
                <v:imagedata o:title=""/>
                <o:lock v:ext="edit" aspectratio="f"/>
                <v:textbox>
                  <w:txbxContent>
                    <w:p>
                      <w:pPr>
                        <w:ind w:firstLine="600" w:firstLineChars="250"/>
                        <w:rPr>
                          <w:rFonts w:hint="eastAsia" w:ascii="仿宋_GB2312" w:eastAsia="仿宋_GB2312"/>
                          <w:sz w:val="24"/>
                        </w:rPr>
                      </w:pPr>
                      <w:r>
                        <w:rPr>
                          <w:rFonts w:hint="eastAsia" w:ascii="仿宋_GB2312" w:eastAsia="仿宋_GB2312"/>
                          <w:sz w:val="24"/>
                        </w:rPr>
                        <w:t>本学年度总学分</w:t>
                      </w:r>
                    </w:p>
                  </w:txbxContent>
                </v:textbox>
              </v:shape>
            </w:pict>
          </mc:Fallback>
        </mc:AlternateContent>
      </w: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154940</wp:posOffset>
                </wp:positionV>
                <wp:extent cx="1943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2.2pt;height:0pt;width:153pt;z-index:251661312;mso-width-relative:page;mso-height-relative:page;" filled="f" stroked="t" coordsize="21600,21600" o:gfxdata="UEsDBAoAAAAAAIdO4kAAAAAAAAAAAAAAAAAEAAAAZHJzL1BLAwQUAAAACACHTuJAMdUnRdYAAAAJ&#10;AQAADwAAAGRycy9kb3ducmV2LnhtbE2PT0/DMAzF70h8h8hIXCaWNowJlaY7AL1xYQNx9RrTVjRO&#10;12R/4NNjxAFu9vPT8++Vq5Mf1IGm2Ae2kM8zUMRNcD23Fl429dUtqJiQHQ6BycInRVhV52clFi4c&#10;+ZkO69QqCeFYoIUupbHQOjYdeYzzMBLL7T1MHpOsU6vdhEcJ94M2WbbUHnuWDx2OdN9R87Heewux&#10;fqVd/TVrZtnbdRvI7B6eHtHay4s8uwOV6JT+zPCDL+hQCdM27NlFNVgw+VK6JBkWC1BiuDFGhO2v&#10;oKtS/29QfQNQSwMEFAAAAAgAh07iQFFEmQ/1AQAA5AMAAA4AAABkcnMvZTJvRG9jLnhtbK1TvY4T&#10;MRDukXgHyz3ZJHCIW2VzxYWjQRAJeICJ7d215D95nGzyErwAEh1UlPS8DcdjMPbmcnA0KdjCO/aM&#10;v5nvm/Hiam8N26mI2ruGzyZTzpQTXmrXNfzD+5snLzjDBE6C8U41/KCQXy0fP1oMoVZz33sjVWQE&#10;4rAeQsP7lEJdVSh6ZQEnPihHztZHC4m2satkhIHQranm0+nzavBRhuiFQqTT1ejkR8R4DqBvWy3U&#10;youtVS6NqFEZSEQJex2QL0u1batEetu2qBIzDSemqayUhOxNXqvlAuouQui1OJYA55TwgJMF7Sjp&#10;CWoFCdg26n+grBbRo2/TRHhbjUSKIsRiNn2gzbsegipcSGoMJ9Hx/8GKN7t1ZFo2fM6ZA0sNv/30&#10;/efHL79+fKb19ttXNs8iDQFrir1263jcYVjHzHjfRpv/xIXti7CHk7Bqn5igw9nls6ezKWku7nzV&#10;/cUQMb1S3rJsNNxolzlDDbvXmCgZhd6F5GPj2NDwy4v5BcEBDWBLjSfTBiKBrit30Rstb7Qx+QbG&#10;bnNtIttBHoLyZUqE+1dYTrIC7Me44hrHo1cgXzrJ0iGQPI5eBc8lWCU5M4oeUbYIEOoE2pwTSamN&#10;owqyqqOO2dp4eaBmbEPUXU9KzEqV2UPNL/UeBzVP15/7gnT/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HVJ0XWAAAACQEAAA8AAAAAAAAAAQAgAAAAIgAAAGRycy9kb3ducmV2LnhtbFBLAQIU&#10;ABQAAAAIAIdO4kBRRJkP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sz w:val="24"/>
        </w:rPr>
        <w:t xml:space="preserve">学业成绩＝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（二）学业能力测评实施细则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、因缓考而补考的同学综合测评按考后的成绩计算，其他情况补考的同学补考通过综合测评均按60分计算。如补考仍未通过者该门课程综合测评按补考前分数计算；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、考试作弊或无故旷考，该门课程以零分计；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、学业成绩与学分的折算方法以《</w:t>
      </w:r>
      <w:r>
        <w:rPr>
          <w:rFonts w:hint="eastAsia" w:ascii="宋体" w:hAnsi="宋体"/>
          <w:sz w:val="24"/>
          <w:lang w:eastAsia="zh-CN"/>
        </w:rPr>
        <w:t>广州</w:t>
      </w:r>
      <w:r>
        <w:rPr>
          <w:rFonts w:hint="eastAsia" w:ascii="宋体" w:hAnsi="宋体"/>
          <w:sz w:val="24"/>
        </w:rPr>
        <w:t>南方学院本科生学籍管理规定》为依据，科目成绩以教务系统导出的、经教学秘书确认的数据为准。</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sz w:val="24"/>
        </w:rPr>
      </w:pPr>
      <w:r>
        <w:rPr>
          <w:rFonts w:hint="eastAsia" w:ascii="宋体" w:hAnsi="宋体"/>
          <w:sz w:val="24"/>
        </w:rPr>
        <w:t>（三）转专业学生测评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ascii="宋体" w:hAnsi="宋体"/>
          <w:kern w:val="0"/>
          <w:sz w:val="24"/>
        </w:rPr>
        <w:t>关于读完一学年后转专业的学生的综合测评回原所在院系进行</w:t>
      </w:r>
      <w:r>
        <w:rPr>
          <w:rFonts w:hint="eastAsia" w:ascii="宋体" w:hAnsi="宋体"/>
          <w:kern w:val="0"/>
          <w:sz w:val="24"/>
          <w:lang w:eastAsia="zh-CN"/>
        </w:rPr>
        <w:t>；</w:t>
      </w:r>
      <w:r>
        <w:rPr>
          <w:rFonts w:hint="eastAsia" w:ascii="宋体" w:hAnsi="宋体"/>
          <w:sz w:val="24"/>
        </w:rPr>
        <w:t>读完半学年后转专业学生在现所在院系进行综合测评</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rPr>
      </w:pPr>
      <w:r>
        <w:rPr>
          <w:rFonts w:hint="eastAsia" w:ascii="宋体" w:hAnsi="宋体"/>
          <w:b/>
          <w:bCs/>
          <w:sz w:val="24"/>
        </w:rPr>
        <w:t>四、综合测评以班级测评、院系测评工作小组复核、批准、报学生工作部确认备案等程序进行。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一）每学年初，学生本人自行打印本学年所用的《文学与传媒学院综合素质测评加分认定表》，按说明填写。每次参与院系活动时带到现场交由工作人员盖章确认，每学期的期中和期末由辅导员进行获奖加分认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收到由学生工作部发出关于综合测评的通知后，学生首先根据个人的《文学与传媒学院综合素质测评加分认定表》并且参照本测评细则的标准进行自评，计算出本人本学年的综合素质测评成绩，列出加分、扣分项目（需提供相关证明材料），并交班测评小组。3月份转专业学生的综合素质测评由现所在院系进行测评，9月份转专业学生的综合素质测评回原所在院系进行测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（二）班测评小组对学生提交的个人自评资料进行评审，结合学生的平时表现，给出初评结果，无异议后由班评议小组填写综合测评表。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（三）班测评小组将填写好的综合测评表，现公示，后报院系测评工作小组进行复核、批准，并按照年级、专业两个维度给学生排定名次。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（四）院系测评小组对各年级、专业学生排序，并将测评结果公示3个工作日。学生如对测评结果有异议，须在公示期内向院系综合测评工作小组反映。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rPr>
      </w:pPr>
      <w:r>
        <w:rPr>
          <w:rFonts w:hint="eastAsia" w:ascii="宋体" w:hAnsi="宋体"/>
          <w:b/>
          <w:bCs/>
          <w:sz w:val="24"/>
        </w:rPr>
        <w:t>五、补充细则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（一）加分项的有效证书需包含：证书上需有获奖人姓名、主办方公章，落款日期需在202</w:t>
      </w:r>
      <w:r>
        <w:rPr>
          <w:rFonts w:hint="eastAsia" w:ascii="宋体" w:hAnsi="宋体"/>
          <w:sz w:val="24"/>
          <w:lang w:val="en-US" w:eastAsia="zh-CN"/>
        </w:rPr>
        <w:t>1</w:t>
      </w:r>
      <w:r>
        <w:rPr>
          <w:rFonts w:hint="eastAsia" w:ascii="宋体" w:hAnsi="宋体"/>
          <w:sz w:val="24"/>
        </w:rPr>
        <w:t>年9月1日至202</w:t>
      </w:r>
      <w:r>
        <w:rPr>
          <w:rFonts w:hint="eastAsia" w:ascii="宋体" w:hAnsi="宋体"/>
          <w:sz w:val="24"/>
          <w:lang w:val="en-US" w:eastAsia="zh-CN"/>
        </w:rPr>
        <w:t>2</w:t>
      </w:r>
      <w:r>
        <w:rPr>
          <w:rFonts w:hint="eastAsia" w:ascii="宋体" w:hAnsi="宋体"/>
          <w:sz w:val="24"/>
        </w:rPr>
        <w:t>年8月31日。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若奖杯、锦旗等不能体现获奖人姓名、主办方公章及落款日期的，需提供有效证明，证明上要涵括：1.奖项的颁奖单位或活动的主办单位；2.比赛或者活动的举办时间；3.奖项获得者或者活动参与者的姓名；4.颁奖单位或者主办方的公章。否则不予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参加在民政部注册的民间组织、社会团体（如XX协会）主办的比赛中获奖的，按照公章级别的次两级加分。即：荣誉证书的公章若为广东省舞蹈协会，则按照校级加分。若为从化区舞蹈协会，不存在从化区的次两级，则不加分。各类商业组织（如腾讯、网易）的公章不作为加分依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（三）参加同一个项目，经过多级比赛晋级的，只取最高分加。如参加从化区科普讲解大赛获得一等奖后晋级参加广州市科普讲解大赛获奖的，不累加，只取最高分加。</w:t>
      </w:r>
    </w:p>
    <w:p>
      <w:pPr>
        <w:spacing w:line="400" w:lineRule="exact"/>
        <w:ind w:firstLine="480" w:firstLineChars="200"/>
        <w:rPr>
          <w:rFonts w:hint="eastAsia" w:ascii="宋体" w:hAnsi="宋体"/>
          <w:sz w:val="24"/>
        </w:rPr>
      </w:pPr>
      <w:r>
        <w:rPr>
          <w:rFonts w:hint="eastAsia" w:ascii="宋体" w:hAnsi="宋体"/>
          <w:sz w:val="24"/>
        </w:rPr>
        <w:t xml:space="preserve"> </w:t>
      </w:r>
    </w:p>
    <w:p>
      <w:pPr>
        <w:spacing w:line="400" w:lineRule="exact"/>
        <w:ind w:firstLine="482" w:firstLineChars="200"/>
        <w:rPr>
          <w:rFonts w:ascii="宋体" w:hAnsi="宋体"/>
          <w:b/>
          <w:bCs/>
          <w:sz w:val="24"/>
        </w:rPr>
      </w:pPr>
      <w:r>
        <w:rPr>
          <w:rFonts w:hint="eastAsia" w:ascii="宋体" w:hAnsi="宋体"/>
          <w:b/>
          <w:bCs/>
          <w:sz w:val="24"/>
        </w:rPr>
        <w:t>本细则自发布之日起实施，解释权归文学与传媒学院学生工作办公室所有。</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080" w:firstLineChars="1700"/>
        <w:rPr>
          <w:rFonts w:hint="eastAsia" w:ascii="宋体" w:hAnsi="宋体"/>
          <w:sz w:val="24"/>
        </w:rPr>
      </w:pPr>
      <w:r>
        <w:rPr>
          <w:rFonts w:hint="eastAsia" w:ascii="宋体" w:hAnsi="宋体"/>
          <w:sz w:val="24"/>
        </w:rPr>
        <w:t>文学与传媒学院综合素质测评工作小组</w:t>
      </w:r>
    </w:p>
    <w:p>
      <w:pPr>
        <w:numPr>
          <w:ilvl w:val="0"/>
          <w:numId w:val="0"/>
        </w:numPr>
        <w:ind w:firstLine="480" w:firstLineChars="200"/>
        <w:jc w:val="right"/>
        <w:rPr>
          <w:rFonts w:hint="eastAsia" w:ascii="宋体" w:hAnsi="宋体"/>
          <w:sz w:val="24"/>
        </w:rPr>
      </w:pPr>
      <w:r>
        <w:rPr>
          <w:rFonts w:hint="eastAsia" w:ascii="宋体" w:hAnsi="宋体"/>
          <w:sz w:val="24"/>
        </w:rPr>
        <w:t>二〇二</w:t>
      </w:r>
      <w:r>
        <w:rPr>
          <w:rFonts w:hint="eastAsia" w:ascii="宋体" w:hAnsi="宋体"/>
          <w:sz w:val="24"/>
          <w:lang w:eastAsia="zh-CN"/>
        </w:rPr>
        <w:t>一</w:t>
      </w:r>
      <w:r>
        <w:rPr>
          <w:rFonts w:hint="eastAsia" w:ascii="宋体" w:hAnsi="宋体"/>
          <w:sz w:val="24"/>
        </w:rPr>
        <w:t>年十</w:t>
      </w:r>
      <w:r>
        <w:rPr>
          <w:rFonts w:hint="eastAsia" w:ascii="宋体" w:hAnsi="宋体"/>
          <w:sz w:val="24"/>
          <w:lang w:eastAsia="zh-CN"/>
        </w:rPr>
        <w:t>二</w:t>
      </w:r>
      <w:r>
        <w:rPr>
          <w:rFonts w:hint="eastAsia" w:ascii="宋体" w:hAnsi="宋体"/>
          <w:sz w:val="24"/>
        </w:rPr>
        <w:t>月</w:t>
      </w:r>
      <w:r>
        <w:rPr>
          <w:rFonts w:hint="eastAsia" w:ascii="宋体" w:hAnsi="宋体"/>
          <w:sz w:val="24"/>
          <w:lang w:eastAsia="zh-CN"/>
        </w:rPr>
        <w:t>十一</w:t>
      </w:r>
      <w:bookmarkStart w:id="4" w:name="_GoBack"/>
      <w:bookmarkEnd w:id="4"/>
      <w:r>
        <w:rPr>
          <w:rFonts w:hint="eastAsia" w:ascii="宋体" w:hAnsi="宋体"/>
          <w:sz w:val="24"/>
        </w:rPr>
        <w:t>日</w:t>
      </w:r>
    </w:p>
    <w:p>
      <w:pPr>
        <w:numPr>
          <w:ilvl w:val="0"/>
          <w:numId w:val="0"/>
        </w:numPr>
        <w:ind w:firstLine="480" w:firstLineChars="200"/>
        <w:jc w:val="right"/>
        <w:rPr>
          <w:rFonts w:hint="eastAsia" w:ascii="宋体" w:hAnsi="宋体" w:eastAsiaTheme="minorEastAsia"/>
          <w:sz w:val="24"/>
          <w:lang w:eastAsia="zh-CN"/>
        </w:rPr>
      </w:pPr>
    </w:p>
    <w:p>
      <w:pPr>
        <w:numPr>
          <w:ilvl w:val="0"/>
          <w:numId w:val="0"/>
        </w:numPr>
        <w:ind w:firstLine="480" w:firstLineChars="200"/>
        <w:jc w:val="right"/>
        <w:rPr>
          <w:rFonts w:hint="eastAsia" w:ascii="宋体" w:hAnsi="宋体" w:eastAsiaTheme="minorEastAsia"/>
          <w:sz w:val="24"/>
          <w:lang w:eastAsia="zh-CN"/>
        </w:rPr>
      </w:pPr>
    </w:p>
    <w:p>
      <w:pPr>
        <w:pStyle w:val="2"/>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ä»¿å®GB2312">
    <w:altName w:val="Times New Roman"/>
    <w:panose1 w:val="00000000000000000000"/>
    <w:charset w:val="00"/>
    <w:family w:val="roman"/>
    <w:pitch w:val="default"/>
    <w:sig w:usb0="00000000" w:usb1="00000000" w:usb2="00000000" w:usb3="00000000" w:csb0="00040001" w:csb1="00000000"/>
  </w:font>
  <w:font w:name="å®ä½">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rPr>
          <w:highlight w:val="none"/>
        </w:rPr>
      </w:pPr>
      <w:r>
        <w:rPr>
          <w:rStyle w:val="9"/>
          <w:highlight w:val="none"/>
        </w:rPr>
        <w:footnoteRef/>
      </w:r>
      <w:r>
        <w:rPr>
          <w:rFonts w:hint="eastAsia" w:ascii="宋体" w:hAnsi="宋体"/>
          <w:sz w:val="21"/>
          <w:szCs w:val="21"/>
          <w:highlight w:val="none"/>
          <w:lang w:val="en-US" w:eastAsia="zh-CN"/>
        </w:rPr>
        <w:t>注：就业助理小组由主要负责人（副组长）和一般负责人（组员）构成</w:t>
      </w:r>
      <w:r>
        <w:rPr>
          <w:rFonts w:hint="eastAsia" w:ascii="宋体" w:hAnsi="宋体"/>
          <w:sz w:val="21"/>
          <w:szCs w:val="21"/>
          <w:highlight w:val="no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17476"/>
    <w:multiLevelType w:val="singleLevel"/>
    <w:tmpl w:val="A9117476"/>
    <w:lvl w:ilvl="0" w:tentative="0">
      <w:start w:val="2"/>
      <w:numFmt w:val="decimal"/>
      <w:suff w:val="nothing"/>
      <w:lvlText w:val="%1、"/>
      <w:lvlJc w:val="left"/>
    </w:lvl>
  </w:abstractNum>
  <w:abstractNum w:abstractNumId="1">
    <w:nsid w:val="C8954E69"/>
    <w:multiLevelType w:val="singleLevel"/>
    <w:tmpl w:val="C8954E69"/>
    <w:lvl w:ilvl="0" w:tentative="0">
      <w:start w:val="1"/>
      <w:numFmt w:val="decimal"/>
      <w:pStyle w:val="3"/>
      <w:suff w:val="space"/>
      <w:lvlText w:val="[%1]"/>
      <w:lvlJc w:val="left"/>
    </w:lvl>
  </w:abstractNum>
  <w:abstractNum w:abstractNumId="2">
    <w:nsid w:val="1A50955E"/>
    <w:multiLevelType w:val="singleLevel"/>
    <w:tmpl w:val="1A50955E"/>
    <w:lvl w:ilvl="0" w:tentative="0">
      <w:start w:val="7"/>
      <w:numFmt w:val="decimal"/>
      <w:suff w:val="nothing"/>
      <w:lvlText w:val="%1、"/>
      <w:lvlJc w:val="left"/>
    </w:lvl>
  </w:abstractNum>
  <w:abstractNum w:abstractNumId="3">
    <w:nsid w:val="454EBC16"/>
    <w:multiLevelType w:val="singleLevel"/>
    <w:tmpl w:val="454EBC1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35433"/>
    <w:rsid w:val="00153E58"/>
    <w:rsid w:val="01B957BA"/>
    <w:rsid w:val="08394CAA"/>
    <w:rsid w:val="0D246BD4"/>
    <w:rsid w:val="28175C49"/>
    <w:rsid w:val="2FF8154F"/>
    <w:rsid w:val="32026C34"/>
    <w:rsid w:val="36877708"/>
    <w:rsid w:val="37335AE2"/>
    <w:rsid w:val="388F3AA5"/>
    <w:rsid w:val="38BD36AD"/>
    <w:rsid w:val="47E3085D"/>
    <w:rsid w:val="54366729"/>
    <w:rsid w:val="5BFF7650"/>
    <w:rsid w:val="5C3F4D1F"/>
    <w:rsid w:val="62075A9D"/>
    <w:rsid w:val="72035433"/>
    <w:rsid w:val="7432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numPr>
        <w:ilvl w:val="0"/>
        <w:numId w:val="1"/>
      </w:numPr>
      <w:snapToGrid w:val="0"/>
      <w:jc w:val="left"/>
    </w:pPr>
    <w:rPr>
      <w:rFonts w:asciiTheme="minorAscii" w:hAnsiTheme="minorAscii"/>
    </w:rPr>
  </w:style>
  <w:style w:type="paragraph" w:styleId="4">
    <w:name w:val="footnote text"/>
    <w:basedOn w:val="1"/>
    <w:qFormat/>
    <w:uiPriority w:val="0"/>
    <w:pPr>
      <w:snapToGrid w:val="0"/>
      <w:jc w:val="left"/>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2021-12-05T08:43:00Z</dcterms:created>
  <dc:creator>小乔</dc:creator>
  <cp:lastModifiedBy>小乔</cp:lastModifiedBy>
  <cp:lastPrinted>2021-12-06T07:36:00Z</cp:lastPrinted>
  <dcterms:modified xsi:type="dcterms:W3CDTF">2021-12-11T01:43:41Z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FECA00BB3EB343EABB3917A69D8C4287</vt:lpwstr>
  </property>
</Properties>
</file>